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ED3A8" w14:textId="40289A13" w:rsidR="00895705" w:rsidRDefault="00895705" w:rsidP="00895705">
      <w:pPr>
        <w:spacing w:after="0" w:line="240" w:lineRule="auto"/>
        <w:outlineLvl w:val="3"/>
        <w:rPr>
          <w:rFonts w:eastAsia="Times New Roman" w:cs="Times New Roman"/>
          <w:b/>
          <w:bCs/>
          <w:color w:val="000000"/>
          <w:sz w:val="28"/>
          <w:szCs w:val="28"/>
        </w:rPr>
      </w:pPr>
      <w:r w:rsidRPr="008815AD">
        <w:rPr>
          <w:rFonts w:eastAsia="Times New Roman" w:cs="Times New Roman"/>
          <w:b/>
          <w:bCs/>
          <w:color w:val="000000"/>
          <w:sz w:val="28"/>
          <w:szCs w:val="28"/>
        </w:rPr>
        <w:t xml:space="preserve">General Guidance for </w:t>
      </w:r>
      <w:r w:rsidR="003C6EA1">
        <w:rPr>
          <w:rFonts w:eastAsia="Times New Roman" w:cs="Times New Roman"/>
          <w:b/>
          <w:bCs/>
          <w:color w:val="000000"/>
          <w:sz w:val="28"/>
          <w:szCs w:val="28"/>
        </w:rPr>
        <w:t xml:space="preserve">Santander </w:t>
      </w:r>
      <w:r>
        <w:rPr>
          <w:rFonts w:eastAsia="Times New Roman" w:cs="Times New Roman"/>
          <w:b/>
          <w:bCs/>
          <w:color w:val="000000"/>
          <w:sz w:val="28"/>
          <w:szCs w:val="28"/>
        </w:rPr>
        <w:t>Applications</w:t>
      </w:r>
      <w:r w:rsidR="003C6EA1">
        <w:rPr>
          <w:rFonts w:eastAsia="Times New Roman" w:cs="Times New Roman"/>
          <w:b/>
          <w:bCs/>
          <w:color w:val="000000"/>
          <w:sz w:val="28"/>
          <w:szCs w:val="28"/>
        </w:rPr>
        <w:t>:</w:t>
      </w:r>
    </w:p>
    <w:p w14:paraId="70ABAFAE" w14:textId="3BBB68ED" w:rsidR="003C6EA1" w:rsidRPr="00866064" w:rsidRDefault="003C6EA1" w:rsidP="003F2BAD">
      <w:pPr>
        <w:pStyle w:val="ListParagraph"/>
        <w:numPr>
          <w:ilvl w:val="0"/>
          <w:numId w:val="22"/>
        </w:numPr>
        <w:spacing w:after="0" w:line="240" w:lineRule="auto"/>
        <w:outlineLvl w:val="3"/>
        <w:rPr>
          <w:rFonts w:eastAsia="Times New Roman" w:cs="Times New Roman"/>
          <w:b/>
          <w:bCs/>
          <w:color w:val="000000"/>
        </w:rPr>
      </w:pPr>
      <w:r w:rsidRPr="00866064">
        <w:rPr>
          <w:rFonts w:eastAsia="Times New Roman" w:cs="Times New Roman"/>
          <w:b/>
          <w:bCs/>
          <w:color w:val="000000"/>
        </w:rPr>
        <w:t xml:space="preserve">Research </w:t>
      </w:r>
      <w:r w:rsidR="00866064">
        <w:rPr>
          <w:rFonts w:eastAsia="Times New Roman" w:cs="Times New Roman"/>
          <w:b/>
          <w:bCs/>
          <w:color w:val="000000"/>
        </w:rPr>
        <w:t xml:space="preserve">&amp; </w:t>
      </w:r>
      <w:r w:rsidRPr="00866064">
        <w:rPr>
          <w:rFonts w:eastAsia="Times New Roman" w:cs="Times New Roman"/>
          <w:b/>
          <w:bCs/>
          <w:color w:val="000000"/>
        </w:rPr>
        <w:t>Mobility Scholarship</w:t>
      </w:r>
    </w:p>
    <w:p w14:paraId="74FABEBA" w14:textId="77777777" w:rsidR="00895705" w:rsidRDefault="00895705" w:rsidP="00895705">
      <w:pPr>
        <w:spacing w:after="0" w:line="240" w:lineRule="auto"/>
        <w:outlineLvl w:val="3"/>
        <w:rPr>
          <w:rFonts w:eastAsia="Times New Roman" w:cs="Times New Roman"/>
          <w:b/>
          <w:bCs/>
          <w:color w:val="000000"/>
        </w:rPr>
      </w:pPr>
    </w:p>
    <w:p w14:paraId="5273D896" w14:textId="77777777" w:rsidR="00895705" w:rsidRDefault="00895705" w:rsidP="00895705">
      <w:pPr>
        <w:spacing w:after="0" w:line="240" w:lineRule="auto"/>
        <w:outlineLvl w:val="3"/>
        <w:rPr>
          <w:rFonts w:eastAsia="Times New Roman" w:cs="Times New Roman"/>
          <w:b/>
          <w:bCs/>
          <w:color w:val="000000"/>
        </w:rPr>
      </w:pPr>
      <w:r>
        <w:rPr>
          <w:rFonts w:eastAsia="Times New Roman" w:cs="Times New Roman"/>
          <w:b/>
          <w:bCs/>
          <w:color w:val="000000"/>
        </w:rPr>
        <w:t>Eligibility</w:t>
      </w:r>
    </w:p>
    <w:p w14:paraId="024BED26" w14:textId="06ABE3FC" w:rsidR="00895705" w:rsidRPr="003F2BAD" w:rsidRDefault="00800628" w:rsidP="003F2BAD">
      <w:pPr>
        <w:pStyle w:val="ListParagraph"/>
        <w:numPr>
          <w:ilvl w:val="0"/>
          <w:numId w:val="9"/>
        </w:numPr>
        <w:spacing w:after="80" w:line="240" w:lineRule="auto"/>
        <w:contextualSpacing w:val="0"/>
        <w:rPr>
          <w:sz w:val="20"/>
          <w:szCs w:val="20"/>
        </w:rPr>
      </w:pPr>
      <w:r w:rsidRPr="003F2BAD">
        <w:rPr>
          <w:sz w:val="20"/>
          <w:szCs w:val="20"/>
          <w:u w:val="single"/>
        </w:rPr>
        <w:t>Applicants</w:t>
      </w:r>
      <w:r w:rsidR="00331CA2" w:rsidRPr="003F2BAD">
        <w:rPr>
          <w:sz w:val="20"/>
          <w:szCs w:val="20"/>
        </w:rPr>
        <w:t>:</w:t>
      </w:r>
      <w:r w:rsidR="00A91EAA">
        <w:rPr>
          <w:sz w:val="20"/>
          <w:szCs w:val="20"/>
        </w:rPr>
        <w:t xml:space="preserve"> </w:t>
      </w:r>
      <w:r w:rsidR="00C537CF" w:rsidRPr="003F2BAD">
        <w:rPr>
          <w:sz w:val="20"/>
          <w:szCs w:val="20"/>
        </w:rPr>
        <w:t xml:space="preserve">OU postgraduate research </w:t>
      </w:r>
      <w:r w:rsidR="00895705" w:rsidRPr="003F2BAD">
        <w:rPr>
          <w:sz w:val="20"/>
          <w:szCs w:val="20"/>
        </w:rPr>
        <w:t xml:space="preserve">student </w:t>
      </w:r>
      <w:r w:rsidRPr="003F2BAD">
        <w:rPr>
          <w:sz w:val="20"/>
          <w:szCs w:val="20"/>
        </w:rPr>
        <w:t xml:space="preserve">(full/part time) </w:t>
      </w:r>
      <w:r w:rsidR="00895705" w:rsidRPr="003F2BAD">
        <w:rPr>
          <w:sz w:val="20"/>
          <w:szCs w:val="20"/>
        </w:rPr>
        <w:t xml:space="preserve">based either at the OU or at an Affiliated Research Centre (ARC). </w:t>
      </w:r>
      <w:r w:rsidR="00D6372C" w:rsidRPr="003F2BAD">
        <w:rPr>
          <w:sz w:val="20"/>
          <w:szCs w:val="20"/>
        </w:rPr>
        <w:t>This includes EdD students.</w:t>
      </w:r>
      <w:r w:rsidR="00FE0A33" w:rsidRPr="003F2BAD">
        <w:rPr>
          <w:sz w:val="20"/>
          <w:szCs w:val="20"/>
        </w:rPr>
        <w:t xml:space="preserve"> </w:t>
      </w:r>
      <w:r w:rsidR="00895705" w:rsidRPr="003F2BAD">
        <w:rPr>
          <w:sz w:val="20"/>
          <w:szCs w:val="20"/>
        </w:rPr>
        <w:t>Associate Lecturers are not eligible to apply.</w:t>
      </w:r>
      <w:r w:rsidR="00FE0A33">
        <w:rPr>
          <w:sz w:val="20"/>
          <w:szCs w:val="20"/>
        </w:rPr>
        <w:t xml:space="preserve"> </w:t>
      </w:r>
    </w:p>
    <w:p w14:paraId="5AA7FE56" w14:textId="0679C91E" w:rsidR="00895705" w:rsidRPr="003F2BAD" w:rsidRDefault="00FE0A33" w:rsidP="003F2BAD">
      <w:pPr>
        <w:pStyle w:val="ListParagraph"/>
        <w:numPr>
          <w:ilvl w:val="0"/>
          <w:numId w:val="9"/>
        </w:numPr>
        <w:spacing w:after="80" w:line="240" w:lineRule="auto"/>
        <w:contextualSpacing w:val="0"/>
        <w:rPr>
          <w:sz w:val="20"/>
          <w:szCs w:val="20"/>
        </w:rPr>
      </w:pPr>
      <w:r w:rsidRPr="003F2BAD">
        <w:rPr>
          <w:sz w:val="20"/>
          <w:szCs w:val="20"/>
          <w:u w:val="single"/>
        </w:rPr>
        <w:t>Late bids</w:t>
      </w:r>
      <w:r>
        <w:rPr>
          <w:sz w:val="20"/>
          <w:szCs w:val="20"/>
        </w:rPr>
        <w:t xml:space="preserve">: </w:t>
      </w:r>
      <w:r w:rsidR="00895705" w:rsidRPr="003F2BAD">
        <w:rPr>
          <w:sz w:val="20"/>
          <w:szCs w:val="20"/>
        </w:rPr>
        <w:t>Retrospective applications are not eligible.</w:t>
      </w:r>
      <w:r w:rsidR="00331CA2" w:rsidRPr="003F2BAD">
        <w:rPr>
          <w:sz w:val="20"/>
          <w:szCs w:val="20"/>
        </w:rPr>
        <w:t xml:space="preserve"> Urgent applications can be considered </w:t>
      </w:r>
      <w:r>
        <w:rPr>
          <w:sz w:val="20"/>
          <w:szCs w:val="20"/>
        </w:rPr>
        <w:t>by</w:t>
      </w:r>
      <w:r w:rsidRPr="003F2BAD">
        <w:rPr>
          <w:sz w:val="20"/>
          <w:szCs w:val="20"/>
        </w:rPr>
        <w:t xml:space="preserve"> </w:t>
      </w:r>
      <w:r w:rsidR="00331CA2" w:rsidRPr="003F2BAD">
        <w:rPr>
          <w:sz w:val="20"/>
          <w:szCs w:val="20"/>
        </w:rPr>
        <w:t>prior consent.</w:t>
      </w:r>
    </w:p>
    <w:p w14:paraId="76EBE389" w14:textId="7F1F9280" w:rsidR="001D12AF" w:rsidRPr="001D12AF" w:rsidRDefault="00D2363C" w:rsidP="003F2BAD">
      <w:pPr>
        <w:pStyle w:val="ListParagraph"/>
        <w:numPr>
          <w:ilvl w:val="0"/>
          <w:numId w:val="9"/>
        </w:numPr>
        <w:spacing w:after="80" w:line="240" w:lineRule="auto"/>
        <w:contextualSpacing w:val="0"/>
        <w:rPr>
          <w:sz w:val="20"/>
          <w:szCs w:val="20"/>
        </w:rPr>
      </w:pPr>
      <w:r w:rsidRPr="001D12AF">
        <w:rPr>
          <w:sz w:val="20"/>
          <w:szCs w:val="20"/>
          <w:u w:val="single"/>
        </w:rPr>
        <w:t>Conference</w:t>
      </w:r>
      <w:r w:rsidRPr="001D12AF">
        <w:rPr>
          <w:sz w:val="20"/>
          <w:szCs w:val="20"/>
        </w:rPr>
        <w:t xml:space="preserve">: </w:t>
      </w:r>
      <w:r w:rsidR="00FB0FC8" w:rsidRPr="001D12AF">
        <w:rPr>
          <w:sz w:val="20"/>
          <w:szCs w:val="20"/>
        </w:rPr>
        <w:t>If applying for funding to attend a conference the application must demonstrate a clear link between the OU and other Santander Universit</w:t>
      </w:r>
      <w:r w:rsidR="00D14D3C" w:rsidRPr="001D12AF">
        <w:rPr>
          <w:sz w:val="20"/>
          <w:szCs w:val="20"/>
        </w:rPr>
        <w:t>y</w:t>
      </w:r>
      <w:r w:rsidR="009511FA" w:rsidRPr="001D12AF">
        <w:rPr>
          <w:sz w:val="20"/>
          <w:szCs w:val="20"/>
        </w:rPr>
        <w:t>(</w:t>
      </w:r>
      <w:r w:rsidR="00FB0FC8" w:rsidRPr="001D12AF">
        <w:rPr>
          <w:sz w:val="20"/>
          <w:szCs w:val="20"/>
        </w:rPr>
        <w:t>s</w:t>
      </w:r>
      <w:r w:rsidR="009511FA" w:rsidRPr="001D12AF">
        <w:rPr>
          <w:sz w:val="20"/>
          <w:szCs w:val="20"/>
        </w:rPr>
        <w:t>)</w:t>
      </w:r>
      <w:r w:rsidR="00FB0FC8" w:rsidRPr="001D12AF">
        <w:rPr>
          <w:sz w:val="20"/>
          <w:szCs w:val="20"/>
        </w:rPr>
        <w:t xml:space="preserve"> in terms of research collaboration or participation in the development of a research network. Attending a conference </w:t>
      </w:r>
      <w:r w:rsidRPr="001D12AF">
        <w:rPr>
          <w:sz w:val="20"/>
          <w:szCs w:val="20"/>
        </w:rPr>
        <w:t xml:space="preserve">(whether hosted by a Santander University or not) is not an eligible cost unless either 1) </w:t>
      </w:r>
      <w:r w:rsidR="00FB0FC8" w:rsidRPr="001D12AF">
        <w:rPr>
          <w:sz w:val="20"/>
          <w:szCs w:val="20"/>
        </w:rPr>
        <w:t>present</w:t>
      </w:r>
      <w:r w:rsidR="00682BD6" w:rsidRPr="001D12AF">
        <w:rPr>
          <w:sz w:val="20"/>
          <w:szCs w:val="20"/>
        </w:rPr>
        <w:t>ing</w:t>
      </w:r>
      <w:r w:rsidR="00FB0FC8" w:rsidRPr="001D12AF">
        <w:rPr>
          <w:sz w:val="20"/>
          <w:szCs w:val="20"/>
        </w:rPr>
        <w:t xml:space="preserve"> a paper</w:t>
      </w:r>
      <w:r w:rsidR="00AD070F">
        <w:rPr>
          <w:sz w:val="20"/>
          <w:szCs w:val="20"/>
        </w:rPr>
        <w:t xml:space="preserve"> or poster</w:t>
      </w:r>
      <w:r w:rsidR="00FB0FC8" w:rsidRPr="001D12AF">
        <w:rPr>
          <w:sz w:val="20"/>
          <w:szCs w:val="20"/>
        </w:rPr>
        <w:t xml:space="preserve"> produced in collaboration with a partner Santander University</w:t>
      </w:r>
      <w:r w:rsidR="00682BD6" w:rsidRPr="001D12AF">
        <w:rPr>
          <w:sz w:val="20"/>
          <w:szCs w:val="20"/>
        </w:rPr>
        <w:t xml:space="preserve">, 2) to pursue (and </w:t>
      </w:r>
      <w:r w:rsidR="00FB0FC8" w:rsidRPr="001D12AF">
        <w:rPr>
          <w:rFonts w:eastAsia="Times New Roman" w:cs="Times New Roman"/>
          <w:sz w:val="20"/>
          <w:szCs w:val="20"/>
        </w:rPr>
        <w:t>evidence</w:t>
      </w:r>
      <w:r w:rsidR="00682BD6" w:rsidRPr="001D12AF">
        <w:rPr>
          <w:rFonts w:eastAsia="Times New Roman" w:cs="Times New Roman"/>
          <w:sz w:val="20"/>
          <w:szCs w:val="20"/>
        </w:rPr>
        <w:t>)</w:t>
      </w:r>
      <w:r w:rsidR="00FB0FC8" w:rsidRPr="001D12AF">
        <w:rPr>
          <w:rFonts w:eastAsia="Times New Roman" w:cs="Times New Roman"/>
          <w:sz w:val="20"/>
          <w:szCs w:val="20"/>
        </w:rPr>
        <w:t xml:space="preserve"> greater collaboration.</w:t>
      </w:r>
      <w:r w:rsidR="00D533FF" w:rsidRPr="001D12AF">
        <w:rPr>
          <w:rFonts w:eastAsia="Times New Roman" w:cs="Times New Roman"/>
          <w:sz w:val="20"/>
          <w:szCs w:val="20"/>
        </w:rPr>
        <w:t xml:space="preserve"> </w:t>
      </w:r>
    </w:p>
    <w:p w14:paraId="2FD73956" w14:textId="0A3A3ABC" w:rsidR="009511FA" w:rsidRPr="001D12AF" w:rsidRDefault="009511FA" w:rsidP="003F2BAD">
      <w:pPr>
        <w:pStyle w:val="ListParagraph"/>
        <w:numPr>
          <w:ilvl w:val="0"/>
          <w:numId w:val="9"/>
        </w:numPr>
        <w:spacing w:after="80" w:line="240" w:lineRule="auto"/>
        <w:contextualSpacing w:val="0"/>
        <w:rPr>
          <w:sz w:val="20"/>
          <w:szCs w:val="20"/>
        </w:rPr>
      </w:pPr>
      <w:r w:rsidRPr="001D12AF">
        <w:rPr>
          <w:sz w:val="20"/>
          <w:szCs w:val="20"/>
          <w:u w:val="single"/>
        </w:rPr>
        <w:t>Spend</w:t>
      </w:r>
      <w:r w:rsidRPr="001D12AF">
        <w:rPr>
          <w:sz w:val="20"/>
          <w:szCs w:val="20"/>
        </w:rPr>
        <w:t>: Applicants are expected to carry out the activity within the timeframe indicated on their application and are required to spend the funds within the same financial year in which the funding was awarded (31 July).</w:t>
      </w:r>
      <w:r w:rsidR="00D14D3C" w:rsidRPr="001D12AF">
        <w:rPr>
          <w:sz w:val="20"/>
          <w:szCs w:val="20"/>
        </w:rPr>
        <w:t xml:space="preserve"> To maximize the benefit to OU researchers, we request that costs associated with collaborators in the Santander University scheme are covered by their own Santander funds.</w:t>
      </w:r>
    </w:p>
    <w:p w14:paraId="5E5E472A" w14:textId="77777777" w:rsidR="00E402C6" w:rsidRDefault="00E402C6" w:rsidP="003F2BAD">
      <w:pPr>
        <w:spacing w:after="0" w:line="240" w:lineRule="auto"/>
        <w:outlineLvl w:val="3"/>
        <w:rPr>
          <w:rFonts w:eastAsia="Times New Roman" w:cs="Times New Roman"/>
          <w:b/>
          <w:bCs/>
          <w:color w:val="000000"/>
        </w:rPr>
      </w:pPr>
    </w:p>
    <w:p w14:paraId="776AC62A" w14:textId="43BA5511" w:rsidR="009511FA" w:rsidRPr="003F2BAD" w:rsidRDefault="00E402C6" w:rsidP="003F2BAD">
      <w:pPr>
        <w:spacing w:after="0" w:line="240" w:lineRule="auto"/>
        <w:outlineLvl w:val="3"/>
        <w:rPr>
          <w:rFonts w:eastAsia="Times New Roman" w:cs="Times New Roman"/>
          <w:b/>
          <w:bCs/>
          <w:color w:val="000000"/>
        </w:rPr>
      </w:pPr>
      <w:r>
        <w:rPr>
          <w:rFonts w:eastAsia="Times New Roman" w:cs="Times New Roman"/>
          <w:b/>
          <w:bCs/>
          <w:color w:val="000000"/>
        </w:rPr>
        <w:t>Limitations</w:t>
      </w:r>
    </w:p>
    <w:p w14:paraId="5070EE33" w14:textId="627BA22C" w:rsidR="00406FCF" w:rsidRDefault="00406FCF" w:rsidP="003F2BAD">
      <w:pPr>
        <w:pStyle w:val="ListParagraph"/>
        <w:numPr>
          <w:ilvl w:val="0"/>
          <w:numId w:val="9"/>
        </w:numPr>
        <w:spacing w:after="80" w:line="240" w:lineRule="auto"/>
        <w:contextualSpacing w:val="0"/>
        <w:rPr>
          <w:sz w:val="20"/>
          <w:szCs w:val="20"/>
        </w:rPr>
      </w:pPr>
      <w:r w:rsidRPr="003F2BAD">
        <w:rPr>
          <w:sz w:val="20"/>
          <w:szCs w:val="20"/>
          <w:u w:val="single"/>
        </w:rPr>
        <w:t>Scope</w:t>
      </w:r>
      <w:r>
        <w:rPr>
          <w:sz w:val="20"/>
          <w:szCs w:val="20"/>
        </w:rPr>
        <w:t>:</w:t>
      </w:r>
    </w:p>
    <w:tbl>
      <w:tblPr>
        <w:tblStyle w:val="TableGrid"/>
        <w:tblW w:w="0" w:type="auto"/>
        <w:tblInd w:w="720" w:type="dxa"/>
        <w:tblLayout w:type="fixed"/>
        <w:tblLook w:val="04A0" w:firstRow="1" w:lastRow="0" w:firstColumn="1" w:lastColumn="0" w:noHBand="0" w:noVBand="1"/>
      </w:tblPr>
      <w:tblGrid>
        <w:gridCol w:w="1345"/>
        <w:gridCol w:w="3600"/>
        <w:gridCol w:w="4791"/>
      </w:tblGrid>
      <w:tr w:rsidR="001D12AF" w14:paraId="6FD22F9B" w14:textId="77777777" w:rsidTr="009F247A">
        <w:tc>
          <w:tcPr>
            <w:tcW w:w="1345" w:type="dxa"/>
            <w:tcBorders>
              <w:bottom w:val="single" w:sz="4" w:space="0" w:color="auto"/>
            </w:tcBorders>
          </w:tcPr>
          <w:p w14:paraId="67406F0B" w14:textId="77777777" w:rsidR="001D12AF" w:rsidRDefault="001D12AF" w:rsidP="001D12AF">
            <w:pPr>
              <w:pStyle w:val="ListParagraph"/>
              <w:spacing w:after="0" w:line="240" w:lineRule="auto"/>
              <w:ind w:left="0"/>
              <w:contextualSpacing w:val="0"/>
              <w:rPr>
                <w:sz w:val="20"/>
                <w:szCs w:val="20"/>
              </w:rPr>
            </w:pPr>
          </w:p>
        </w:tc>
        <w:tc>
          <w:tcPr>
            <w:tcW w:w="8391" w:type="dxa"/>
            <w:gridSpan w:val="2"/>
            <w:shd w:val="clear" w:color="auto" w:fill="FF0000"/>
          </w:tcPr>
          <w:p w14:paraId="0D3971DF" w14:textId="712DD686" w:rsidR="001D12AF" w:rsidRPr="003F2BAD" w:rsidRDefault="001D12AF" w:rsidP="001D12AF">
            <w:pPr>
              <w:pStyle w:val="ListParagraph"/>
              <w:spacing w:after="0" w:line="240" w:lineRule="auto"/>
              <w:ind w:left="0"/>
              <w:contextualSpacing w:val="0"/>
              <w:rPr>
                <w:color w:val="FFFFFF" w:themeColor="background1"/>
                <w:sz w:val="20"/>
                <w:szCs w:val="20"/>
              </w:rPr>
            </w:pPr>
            <w:r w:rsidRPr="003F2BAD">
              <w:rPr>
                <w:color w:val="FFFFFF" w:themeColor="background1"/>
                <w:sz w:val="20"/>
                <w:szCs w:val="20"/>
              </w:rPr>
              <w:t>Research &amp; Mobility Scholarship</w:t>
            </w:r>
          </w:p>
        </w:tc>
      </w:tr>
      <w:tr w:rsidR="001D12AF" w14:paraId="3B60A9CE" w14:textId="77777777" w:rsidTr="003F2BAD">
        <w:tc>
          <w:tcPr>
            <w:tcW w:w="1345" w:type="dxa"/>
            <w:tcBorders>
              <w:top w:val="single" w:sz="4" w:space="0" w:color="auto"/>
              <w:left w:val="single" w:sz="4" w:space="0" w:color="auto"/>
              <w:bottom w:val="nil"/>
              <w:right w:val="single" w:sz="4" w:space="0" w:color="auto"/>
            </w:tcBorders>
          </w:tcPr>
          <w:p w14:paraId="6D7944F7" w14:textId="0127263E" w:rsidR="001D12AF" w:rsidRDefault="001D12AF" w:rsidP="001D12AF">
            <w:pPr>
              <w:pStyle w:val="ListParagraph"/>
              <w:spacing w:after="0" w:line="240" w:lineRule="auto"/>
              <w:ind w:left="0"/>
              <w:contextualSpacing w:val="0"/>
              <w:rPr>
                <w:sz w:val="20"/>
                <w:szCs w:val="20"/>
              </w:rPr>
            </w:pPr>
            <w:r>
              <w:rPr>
                <w:sz w:val="20"/>
                <w:szCs w:val="20"/>
              </w:rPr>
              <w:t>Purpose (not exhaustive)</w:t>
            </w:r>
          </w:p>
        </w:tc>
        <w:tc>
          <w:tcPr>
            <w:tcW w:w="3600" w:type="dxa"/>
            <w:tcBorders>
              <w:left w:val="single" w:sz="4" w:space="0" w:color="auto"/>
            </w:tcBorders>
          </w:tcPr>
          <w:p w14:paraId="5484E9CF" w14:textId="77777777" w:rsidR="001D12AF" w:rsidRDefault="001D12AF" w:rsidP="001D12AF">
            <w:pPr>
              <w:pStyle w:val="ListParagraph"/>
              <w:spacing w:after="0" w:line="240" w:lineRule="auto"/>
              <w:ind w:left="0"/>
              <w:contextualSpacing w:val="0"/>
              <w:rPr>
                <w:sz w:val="20"/>
                <w:szCs w:val="20"/>
              </w:rPr>
            </w:pPr>
            <w:r w:rsidRPr="00DB673D">
              <w:rPr>
                <w:sz w:val="20"/>
                <w:szCs w:val="20"/>
              </w:rPr>
              <w:t>-Visit to another Santander University(s)</w:t>
            </w:r>
          </w:p>
          <w:p w14:paraId="6057BB14" w14:textId="37AF22B7" w:rsidR="001D12AF" w:rsidRDefault="006515BC" w:rsidP="001D12AF">
            <w:pPr>
              <w:pStyle w:val="ListParagraph"/>
              <w:spacing w:after="0" w:line="240" w:lineRule="auto"/>
              <w:ind w:left="0"/>
              <w:contextualSpacing w:val="0"/>
              <w:rPr>
                <w:sz w:val="20"/>
                <w:szCs w:val="20"/>
              </w:rPr>
            </w:pPr>
            <w:r>
              <w:rPr>
                <w:sz w:val="20"/>
                <w:szCs w:val="20"/>
              </w:rPr>
              <w:t>-</w:t>
            </w:r>
            <w:r w:rsidR="00BC5D3D">
              <w:rPr>
                <w:sz w:val="20"/>
                <w:szCs w:val="20"/>
              </w:rPr>
              <w:t>Undertaking fieldwork abroad</w:t>
            </w:r>
          </w:p>
        </w:tc>
        <w:tc>
          <w:tcPr>
            <w:tcW w:w="4791" w:type="dxa"/>
          </w:tcPr>
          <w:p w14:paraId="54390CCA" w14:textId="77777777" w:rsidR="001D12AF" w:rsidRDefault="001D12AF" w:rsidP="001D12AF">
            <w:pPr>
              <w:pStyle w:val="ListParagraph"/>
              <w:spacing w:after="0" w:line="240" w:lineRule="auto"/>
              <w:ind w:left="0"/>
              <w:contextualSpacing w:val="0"/>
              <w:rPr>
                <w:sz w:val="20"/>
                <w:szCs w:val="20"/>
              </w:rPr>
            </w:pPr>
            <w:r w:rsidRPr="00DB673D">
              <w:rPr>
                <w:sz w:val="20"/>
                <w:szCs w:val="20"/>
              </w:rPr>
              <w:t>-Research collaboration with another University</w:t>
            </w:r>
            <w:r>
              <w:rPr>
                <w:sz w:val="20"/>
                <w:szCs w:val="20"/>
              </w:rPr>
              <w:t>(s)</w:t>
            </w:r>
          </w:p>
          <w:p w14:paraId="20B0D824" w14:textId="3C3BA0F1" w:rsidR="00BC5D3D" w:rsidRDefault="00BC5D3D" w:rsidP="001D12AF">
            <w:pPr>
              <w:pStyle w:val="ListParagraph"/>
              <w:spacing w:after="0" w:line="240" w:lineRule="auto"/>
              <w:ind w:left="0"/>
              <w:contextualSpacing w:val="0"/>
              <w:rPr>
                <w:sz w:val="20"/>
                <w:szCs w:val="20"/>
              </w:rPr>
            </w:pPr>
            <w:r>
              <w:rPr>
                <w:sz w:val="20"/>
                <w:szCs w:val="20"/>
              </w:rPr>
              <w:t>-Conference attendance to present to/engage with collaborators</w:t>
            </w:r>
          </w:p>
        </w:tc>
      </w:tr>
      <w:tr w:rsidR="001D12AF" w14:paraId="1B2483BE" w14:textId="77777777" w:rsidTr="003F2BAD">
        <w:tc>
          <w:tcPr>
            <w:tcW w:w="1345" w:type="dxa"/>
            <w:tcBorders>
              <w:top w:val="nil"/>
              <w:left w:val="single" w:sz="4" w:space="0" w:color="auto"/>
              <w:bottom w:val="single" w:sz="4" w:space="0" w:color="auto"/>
              <w:right w:val="single" w:sz="4" w:space="0" w:color="auto"/>
            </w:tcBorders>
          </w:tcPr>
          <w:p w14:paraId="02426C2E" w14:textId="77777777" w:rsidR="001D12AF" w:rsidRDefault="001D12AF" w:rsidP="001D12AF">
            <w:pPr>
              <w:pStyle w:val="ListParagraph"/>
              <w:spacing w:after="0" w:line="240" w:lineRule="auto"/>
              <w:ind w:left="0"/>
              <w:contextualSpacing w:val="0"/>
              <w:rPr>
                <w:sz w:val="20"/>
                <w:szCs w:val="20"/>
              </w:rPr>
            </w:pPr>
          </w:p>
        </w:tc>
        <w:tc>
          <w:tcPr>
            <w:tcW w:w="8391" w:type="dxa"/>
            <w:gridSpan w:val="2"/>
            <w:tcBorders>
              <w:left w:val="single" w:sz="4" w:space="0" w:color="auto"/>
            </w:tcBorders>
          </w:tcPr>
          <w:p w14:paraId="50D7272E" w14:textId="554AD2E9" w:rsidR="001D12AF" w:rsidRDefault="001D12AF" w:rsidP="001D12AF">
            <w:pPr>
              <w:pStyle w:val="ListParagraph"/>
              <w:spacing w:after="0" w:line="240" w:lineRule="auto"/>
              <w:ind w:left="0"/>
              <w:contextualSpacing w:val="0"/>
              <w:rPr>
                <w:sz w:val="20"/>
                <w:szCs w:val="20"/>
              </w:rPr>
            </w:pPr>
            <w:r>
              <w:rPr>
                <w:sz w:val="20"/>
                <w:szCs w:val="20"/>
              </w:rPr>
              <w:t>NOT anticipated to be used:</w:t>
            </w:r>
          </w:p>
          <w:p w14:paraId="78D54A3D" w14:textId="6D076B74" w:rsidR="001D12AF" w:rsidRPr="00393301" w:rsidRDefault="001D12AF" w:rsidP="001D12AF">
            <w:pPr>
              <w:pStyle w:val="ListParagraph"/>
              <w:numPr>
                <w:ilvl w:val="0"/>
                <w:numId w:val="21"/>
              </w:numPr>
              <w:spacing w:after="0" w:line="240" w:lineRule="auto"/>
              <w:contextualSpacing w:val="0"/>
              <w:rPr>
                <w:sz w:val="20"/>
                <w:szCs w:val="20"/>
              </w:rPr>
            </w:pPr>
            <w:r w:rsidRPr="00393301">
              <w:rPr>
                <w:sz w:val="20"/>
                <w:szCs w:val="20"/>
              </w:rPr>
              <w:t>As a top up to external research grants or planned activity within a PhD – these should already be fully costed and approved within Faculty budgets. Preference is given to discrete identifiable activity rather than used as a top up. Top-up</w:t>
            </w:r>
            <w:r>
              <w:rPr>
                <w:sz w:val="20"/>
                <w:szCs w:val="20"/>
              </w:rPr>
              <w:t>s</w:t>
            </w:r>
            <w:r w:rsidRPr="00393301">
              <w:rPr>
                <w:sz w:val="20"/>
                <w:szCs w:val="20"/>
              </w:rPr>
              <w:t xml:space="preserve"> to research students to subsidize living expenses whilst writing up thesis</w:t>
            </w:r>
            <w:r>
              <w:rPr>
                <w:sz w:val="20"/>
                <w:szCs w:val="20"/>
              </w:rPr>
              <w:t xml:space="preserve"> are discouraged.</w:t>
            </w:r>
            <w:r w:rsidRPr="00393301">
              <w:rPr>
                <w:sz w:val="20"/>
                <w:szCs w:val="20"/>
              </w:rPr>
              <w:t xml:space="preserve"> </w:t>
            </w:r>
          </w:p>
          <w:p w14:paraId="2AC3A590" w14:textId="298E03F7" w:rsidR="001D12AF" w:rsidRDefault="001D12AF" w:rsidP="001D12AF">
            <w:pPr>
              <w:pStyle w:val="ListParagraph"/>
              <w:numPr>
                <w:ilvl w:val="0"/>
                <w:numId w:val="21"/>
              </w:numPr>
              <w:spacing w:after="0" w:line="240" w:lineRule="auto"/>
              <w:contextualSpacing w:val="0"/>
              <w:rPr>
                <w:sz w:val="20"/>
                <w:szCs w:val="20"/>
              </w:rPr>
            </w:pPr>
            <w:r w:rsidRPr="00406FCF">
              <w:rPr>
                <w:sz w:val="20"/>
                <w:szCs w:val="20"/>
              </w:rPr>
              <w:t>A fund of first resort without checking whether the proposal would be relevant to external funding</w:t>
            </w:r>
          </w:p>
          <w:p w14:paraId="3A8BAACE" w14:textId="15AD8A4C" w:rsidR="001D12AF" w:rsidRPr="00A91EAA" w:rsidRDefault="001D12AF" w:rsidP="001D12AF">
            <w:pPr>
              <w:pStyle w:val="ListParagraph"/>
              <w:numPr>
                <w:ilvl w:val="0"/>
                <w:numId w:val="21"/>
              </w:numPr>
              <w:spacing w:after="0" w:line="240" w:lineRule="auto"/>
              <w:contextualSpacing w:val="0"/>
              <w:rPr>
                <w:sz w:val="20"/>
                <w:szCs w:val="20"/>
              </w:rPr>
            </w:pPr>
            <w:r>
              <w:rPr>
                <w:sz w:val="20"/>
                <w:szCs w:val="20"/>
              </w:rPr>
              <w:t xml:space="preserve">Use to meet ancillary costs to research e.g. an application solely to fund the writing up on an output and covering the publication costs. </w:t>
            </w:r>
          </w:p>
        </w:tc>
      </w:tr>
      <w:tr w:rsidR="001D12AF" w14:paraId="56CEF7FA" w14:textId="77777777" w:rsidTr="003F2BAD">
        <w:tc>
          <w:tcPr>
            <w:tcW w:w="1345" w:type="dxa"/>
            <w:tcBorders>
              <w:top w:val="single" w:sz="4" w:space="0" w:color="auto"/>
            </w:tcBorders>
          </w:tcPr>
          <w:p w14:paraId="065F1DAE" w14:textId="6A6131C6" w:rsidR="001D12AF" w:rsidRDefault="001D12AF" w:rsidP="001D12AF">
            <w:pPr>
              <w:pStyle w:val="ListParagraph"/>
              <w:spacing w:after="0" w:line="240" w:lineRule="auto"/>
              <w:ind w:left="0"/>
              <w:contextualSpacing w:val="0"/>
              <w:rPr>
                <w:sz w:val="20"/>
                <w:szCs w:val="20"/>
              </w:rPr>
            </w:pPr>
            <w:r>
              <w:rPr>
                <w:sz w:val="20"/>
                <w:szCs w:val="20"/>
              </w:rPr>
              <w:t>Eligible Costs</w:t>
            </w:r>
          </w:p>
        </w:tc>
        <w:tc>
          <w:tcPr>
            <w:tcW w:w="3600" w:type="dxa"/>
          </w:tcPr>
          <w:p w14:paraId="0A024786" w14:textId="0AB84826" w:rsidR="001D12AF" w:rsidRDefault="001D12AF" w:rsidP="001D12AF">
            <w:pPr>
              <w:pStyle w:val="ListParagraph"/>
              <w:spacing w:after="0" w:line="240" w:lineRule="auto"/>
              <w:ind w:left="0"/>
              <w:contextualSpacing w:val="0"/>
              <w:rPr>
                <w:sz w:val="20"/>
                <w:szCs w:val="20"/>
              </w:rPr>
            </w:pPr>
            <w:r w:rsidRPr="00DB673D">
              <w:rPr>
                <w:sz w:val="20"/>
                <w:szCs w:val="20"/>
              </w:rPr>
              <w:t>Travel &amp; subsistence</w:t>
            </w:r>
          </w:p>
        </w:tc>
        <w:tc>
          <w:tcPr>
            <w:tcW w:w="4791" w:type="dxa"/>
          </w:tcPr>
          <w:p w14:paraId="147E92B5" w14:textId="6DB4A867" w:rsidR="001D12AF" w:rsidRDefault="001D12AF" w:rsidP="001D12AF">
            <w:pPr>
              <w:pStyle w:val="ListParagraph"/>
              <w:spacing w:after="0" w:line="240" w:lineRule="auto"/>
              <w:ind w:left="0"/>
              <w:contextualSpacing w:val="0"/>
              <w:rPr>
                <w:sz w:val="20"/>
                <w:szCs w:val="20"/>
              </w:rPr>
            </w:pPr>
            <w:r w:rsidRPr="00DB673D">
              <w:rPr>
                <w:sz w:val="20"/>
                <w:szCs w:val="20"/>
              </w:rPr>
              <w:t>Direct costs</w:t>
            </w:r>
            <w:r w:rsidR="003F6F52">
              <w:rPr>
                <w:sz w:val="20"/>
                <w:szCs w:val="20"/>
              </w:rPr>
              <w:t xml:space="preserve"> (</w:t>
            </w:r>
            <w:r w:rsidRPr="00DB673D">
              <w:rPr>
                <w:sz w:val="20"/>
                <w:szCs w:val="20"/>
              </w:rPr>
              <w:t>research</w:t>
            </w:r>
            <w:r w:rsidR="003F6F52">
              <w:rPr>
                <w:sz w:val="20"/>
                <w:szCs w:val="20"/>
              </w:rPr>
              <w:t xml:space="preserve"> materials</w:t>
            </w:r>
            <w:r w:rsidRPr="00DB673D">
              <w:rPr>
                <w:sz w:val="20"/>
                <w:szCs w:val="20"/>
              </w:rPr>
              <w:t xml:space="preserve"> costs</w:t>
            </w:r>
            <w:r w:rsidR="003F6F52">
              <w:rPr>
                <w:sz w:val="20"/>
                <w:szCs w:val="20"/>
              </w:rPr>
              <w:t>, conference registration</w:t>
            </w:r>
            <w:r w:rsidRPr="00DB673D">
              <w:rPr>
                <w:sz w:val="20"/>
                <w:szCs w:val="20"/>
              </w:rPr>
              <w:t>)</w:t>
            </w:r>
          </w:p>
        </w:tc>
      </w:tr>
    </w:tbl>
    <w:p w14:paraId="2F6E8625" w14:textId="77777777" w:rsidR="00E402C6" w:rsidRDefault="00E402C6" w:rsidP="003F2BAD">
      <w:pPr>
        <w:spacing w:after="0" w:line="240" w:lineRule="auto"/>
        <w:rPr>
          <w:rFonts w:eastAsia="Times New Roman" w:cs="Times New Roman"/>
        </w:rPr>
      </w:pPr>
    </w:p>
    <w:p w14:paraId="60ECE132" w14:textId="77777777" w:rsidR="00E402C6" w:rsidRPr="00564427" w:rsidRDefault="00E402C6" w:rsidP="003F2BAD">
      <w:pPr>
        <w:spacing w:after="0" w:line="240" w:lineRule="auto"/>
        <w:rPr>
          <w:rFonts w:eastAsia="Times New Roman" w:cs="Times New Roman"/>
        </w:rPr>
      </w:pPr>
    </w:p>
    <w:p w14:paraId="7FAC3CD1" w14:textId="77777777" w:rsidR="00895705" w:rsidRPr="00564427" w:rsidRDefault="00895705" w:rsidP="00895705">
      <w:pPr>
        <w:spacing w:after="0" w:line="240" w:lineRule="auto"/>
        <w:outlineLvl w:val="3"/>
        <w:rPr>
          <w:rFonts w:eastAsia="Times New Roman" w:cs="Times New Roman"/>
          <w:b/>
          <w:bCs/>
          <w:color w:val="000000"/>
        </w:rPr>
      </w:pPr>
      <w:r>
        <w:rPr>
          <w:rFonts w:eastAsia="Times New Roman" w:cs="Times New Roman"/>
          <w:b/>
          <w:bCs/>
          <w:color w:val="000000"/>
        </w:rPr>
        <w:t>How proposals are assessed</w:t>
      </w:r>
    </w:p>
    <w:p w14:paraId="5A139300" w14:textId="67783D63" w:rsidR="00895705" w:rsidRPr="003F2BAD" w:rsidRDefault="009511FA" w:rsidP="00393301">
      <w:pPr>
        <w:pStyle w:val="ListParagraph"/>
        <w:numPr>
          <w:ilvl w:val="0"/>
          <w:numId w:val="9"/>
        </w:numPr>
        <w:spacing w:after="0" w:line="240" w:lineRule="auto"/>
        <w:rPr>
          <w:rFonts w:eastAsia="Times New Roman" w:cs="Times New Roman"/>
          <w:sz w:val="20"/>
          <w:szCs w:val="20"/>
        </w:rPr>
      </w:pPr>
      <w:r>
        <w:rPr>
          <w:rFonts w:eastAsia="Times New Roman" w:cs="Times New Roman"/>
          <w:sz w:val="20"/>
          <w:szCs w:val="20"/>
        </w:rPr>
        <w:t>A</w:t>
      </w:r>
      <w:r w:rsidR="00895705" w:rsidRPr="003F2BAD">
        <w:rPr>
          <w:rFonts w:eastAsia="Times New Roman" w:cs="Times New Roman"/>
          <w:sz w:val="20"/>
          <w:szCs w:val="20"/>
        </w:rPr>
        <w:t>pplications are accepted throughout the year</w:t>
      </w:r>
      <w:r w:rsidR="00F60311">
        <w:rPr>
          <w:rFonts w:eastAsia="Times New Roman" w:cs="Times New Roman"/>
          <w:sz w:val="20"/>
          <w:szCs w:val="20"/>
        </w:rPr>
        <w:t xml:space="preserve"> </w:t>
      </w:r>
      <w:r w:rsidR="00DC0989">
        <w:rPr>
          <w:rFonts w:eastAsia="Times New Roman" w:cs="Times New Roman"/>
          <w:sz w:val="20"/>
          <w:szCs w:val="20"/>
        </w:rPr>
        <w:t xml:space="preserve">and </w:t>
      </w:r>
      <w:r w:rsidR="001D12AF">
        <w:rPr>
          <w:rFonts w:eastAsia="Times New Roman" w:cs="Times New Roman"/>
          <w:sz w:val="20"/>
          <w:szCs w:val="20"/>
        </w:rPr>
        <w:t>reviewed regularly</w:t>
      </w:r>
      <w:r w:rsidR="00F60311">
        <w:rPr>
          <w:rFonts w:eastAsia="Times New Roman" w:cs="Times New Roman"/>
          <w:sz w:val="20"/>
          <w:szCs w:val="20"/>
        </w:rPr>
        <w:t>.</w:t>
      </w:r>
      <w:r w:rsidR="001D12AF">
        <w:rPr>
          <w:rFonts w:eastAsia="Times New Roman" w:cs="Times New Roman"/>
          <w:sz w:val="20"/>
          <w:szCs w:val="20"/>
        </w:rPr>
        <w:t xml:space="preserve">  Funding is split proportionately between Faculties and Affiliated Research </w:t>
      </w:r>
      <w:proofErr w:type="spellStart"/>
      <w:r w:rsidR="001D12AF">
        <w:rPr>
          <w:rFonts w:eastAsia="Times New Roman" w:cs="Times New Roman"/>
          <w:sz w:val="20"/>
          <w:szCs w:val="20"/>
        </w:rPr>
        <w:t>Centres</w:t>
      </w:r>
      <w:proofErr w:type="spellEnd"/>
      <w:r w:rsidR="001D12AF">
        <w:rPr>
          <w:rFonts w:eastAsia="Times New Roman" w:cs="Times New Roman"/>
          <w:sz w:val="20"/>
          <w:szCs w:val="20"/>
        </w:rPr>
        <w:t xml:space="preserve"> </w:t>
      </w:r>
      <w:r w:rsidR="00130622">
        <w:rPr>
          <w:rFonts w:eastAsia="Times New Roman" w:cs="Times New Roman"/>
          <w:sz w:val="20"/>
          <w:szCs w:val="20"/>
        </w:rPr>
        <w:t xml:space="preserve">and </w:t>
      </w:r>
      <w:r w:rsidR="001D12AF">
        <w:rPr>
          <w:rFonts w:eastAsia="Times New Roman" w:cs="Times New Roman"/>
          <w:sz w:val="20"/>
          <w:szCs w:val="20"/>
        </w:rPr>
        <w:t>the funding position is reviewed quarterly</w:t>
      </w:r>
      <w:r w:rsidR="00F60311">
        <w:rPr>
          <w:rFonts w:eastAsia="Times New Roman" w:cs="Times New Roman"/>
          <w:sz w:val="20"/>
          <w:szCs w:val="20"/>
        </w:rPr>
        <w:t xml:space="preserve">. Speak to </w:t>
      </w:r>
      <w:r w:rsidR="0003289E">
        <w:rPr>
          <w:rFonts w:eastAsia="Times New Roman" w:cs="Times New Roman"/>
          <w:sz w:val="20"/>
          <w:szCs w:val="20"/>
        </w:rPr>
        <w:t>Rob Wilson</w:t>
      </w:r>
      <w:r w:rsidR="00491FA4">
        <w:rPr>
          <w:rFonts w:eastAsia="Times New Roman" w:cs="Times New Roman"/>
          <w:sz w:val="20"/>
          <w:szCs w:val="20"/>
        </w:rPr>
        <w:t xml:space="preserve"> on</w:t>
      </w:r>
      <w:r w:rsidR="00F60311">
        <w:rPr>
          <w:rFonts w:eastAsia="Times New Roman" w:cs="Times New Roman"/>
          <w:sz w:val="20"/>
          <w:szCs w:val="20"/>
        </w:rPr>
        <w:t xml:space="preserve"> 5</w:t>
      </w:r>
      <w:r w:rsidR="00491FA4">
        <w:rPr>
          <w:rFonts w:eastAsia="Times New Roman" w:cs="Times New Roman"/>
          <w:sz w:val="20"/>
          <w:szCs w:val="20"/>
        </w:rPr>
        <w:t>2681</w:t>
      </w:r>
      <w:r w:rsidR="00F60311">
        <w:rPr>
          <w:rFonts w:eastAsia="Times New Roman" w:cs="Times New Roman"/>
          <w:sz w:val="20"/>
          <w:szCs w:val="20"/>
        </w:rPr>
        <w:t xml:space="preserve"> </w:t>
      </w:r>
      <w:r w:rsidR="001D12AF">
        <w:rPr>
          <w:rFonts w:eastAsia="Times New Roman" w:cs="Times New Roman"/>
          <w:sz w:val="20"/>
          <w:szCs w:val="20"/>
        </w:rPr>
        <w:t xml:space="preserve">to check if your faculty has funding remaining or </w:t>
      </w:r>
      <w:r w:rsidR="00F60311">
        <w:rPr>
          <w:rFonts w:eastAsia="Times New Roman" w:cs="Times New Roman"/>
          <w:sz w:val="20"/>
          <w:szCs w:val="20"/>
        </w:rPr>
        <w:t>if</w:t>
      </w:r>
      <w:r w:rsidR="001D12AF">
        <w:rPr>
          <w:rFonts w:eastAsia="Times New Roman" w:cs="Times New Roman"/>
          <w:sz w:val="20"/>
          <w:szCs w:val="20"/>
        </w:rPr>
        <w:t xml:space="preserve"> project</w:t>
      </w:r>
      <w:r w:rsidR="00F60311">
        <w:rPr>
          <w:rFonts w:eastAsia="Times New Roman" w:cs="Times New Roman"/>
          <w:sz w:val="20"/>
          <w:szCs w:val="20"/>
        </w:rPr>
        <w:t xml:space="preserve"> timescales are tight</w:t>
      </w:r>
      <w:r w:rsidR="001D12AF">
        <w:rPr>
          <w:rFonts w:eastAsia="Times New Roman" w:cs="Times New Roman"/>
          <w:sz w:val="20"/>
          <w:szCs w:val="20"/>
        </w:rPr>
        <w:t>.</w:t>
      </w:r>
    </w:p>
    <w:p w14:paraId="3BFB47CF" w14:textId="77777777" w:rsidR="00895705" w:rsidRDefault="00895705" w:rsidP="00895705">
      <w:pPr>
        <w:spacing w:after="0" w:line="240" w:lineRule="auto"/>
        <w:outlineLvl w:val="3"/>
        <w:rPr>
          <w:rFonts w:eastAsia="Times New Roman" w:cs="Times New Roman"/>
          <w:b/>
          <w:bCs/>
          <w:color w:val="000000"/>
        </w:rPr>
      </w:pPr>
    </w:p>
    <w:p w14:paraId="349EEADE" w14:textId="77777777" w:rsidR="009511FA" w:rsidRDefault="009511FA" w:rsidP="009511FA">
      <w:pPr>
        <w:spacing w:after="0" w:line="240" w:lineRule="auto"/>
        <w:outlineLvl w:val="3"/>
        <w:rPr>
          <w:rFonts w:eastAsia="Times New Roman" w:cs="Times New Roman"/>
          <w:b/>
          <w:bCs/>
          <w:color w:val="000000"/>
        </w:rPr>
      </w:pPr>
      <w:r>
        <w:rPr>
          <w:rFonts w:eastAsia="Times New Roman" w:cs="Times New Roman"/>
          <w:b/>
          <w:bCs/>
          <w:color w:val="000000"/>
        </w:rPr>
        <w:t>Assessment</w:t>
      </w:r>
      <w:r>
        <w:rPr>
          <w:rFonts w:eastAsia="Times New Roman" w:cs="Times New Roman"/>
          <w:bCs/>
          <w:color w:val="000000"/>
        </w:rPr>
        <w:t xml:space="preserve"> </w:t>
      </w:r>
      <w:r>
        <w:rPr>
          <w:rFonts w:eastAsia="Times New Roman" w:cs="Times New Roman"/>
          <w:b/>
          <w:bCs/>
          <w:color w:val="000000"/>
        </w:rPr>
        <w:t xml:space="preserve">Criteria </w:t>
      </w:r>
    </w:p>
    <w:p w14:paraId="4FA51B18" w14:textId="77777777" w:rsidR="009511FA" w:rsidRPr="00E623CD" w:rsidRDefault="009511FA" w:rsidP="003F2BAD">
      <w:pPr>
        <w:spacing w:after="80" w:line="240" w:lineRule="auto"/>
        <w:outlineLvl w:val="3"/>
        <w:rPr>
          <w:rFonts w:eastAsia="Times New Roman" w:cs="Times New Roman"/>
          <w:bCs/>
          <w:color w:val="000000"/>
          <w:sz w:val="20"/>
          <w:szCs w:val="20"/>
        </w:rPr>
      </w:pPr>
      <w:r w:rsidRPr="00E623CD">
        <w:rPr>
          <w:rFonts w:eastAsia="Times New Roman" w:cs="Times New Roman"/>
          <w:bCs/>
          <w:color w:val="000000"/>
          <w:sz w:val="20"/>
          <w:szCs w:val="20"/>
        </w:rPr>
        <w:t>Applications will be assessed on the following criteria:</w:t>
      </w:r>
    </w:p>
    <w:p w14:paraId="0C0D3666" w14:textId="19A75BAC" w:rsidR="009511FA" w:rsidRPr="00E623CD" w:rsidRDefault="009511FA" w:rsidP="003F2BAD">
      <w:pPr>
        <w:numPr>
          <w:ilvl w:val="0"/>
          <w:numId w:val="9"/>
        </w:numPr>
        <w:spacing w:after="80" w:line="240" w:lineRule="auto"/>
        <w:rPr>
          <w:rFonts w:eastAsia="Times New Roman" w:cs="Times New Roman"/>
          <w:sz w:val="20"/>
          <w:szCs w:val="20"/>
        </w:rPr>
      </w:pPr>
      <w:r w:rsidRPr="00E623CD">
        <w:rPr>
          <w:rFonts w:eastAsia="Times New Roman" w:cs="Times New Roman"/>
          <w:sz w:val="20"/>
          <w:szCs w:val="20"/>
          <w:u w:val="single"/>
        </w:rPr>
        <w:t>Network</w:t>
      </w:r>
      <w:r w:rsidRPr="00E623CD">
        <w:rPr>
          <w:rFonts w:eastAsia="Times New Roman" w:cs="Times New Roman"/>
          <w:sz w:val="20"/>
          <w:szCs w:val="20"/>
        </w:rPr>
        <w:t xml:space="preserve">: A clear link to an institution within the </w:t>
      </w:r>
      <w:hyperlink r:id="rId10" w:history="1">
        <w:r w:rsidRPr="00E623CD">
          <w:rPr>
            <w:rStyle w:val="Hyperlink"/>
            <w:rFonts w:eastAsia="Times New Roman" w:cs="Times New Roman"/>
            <w:sz w:val="20"/>
            <w:szCs w:val="20"/>
          </w:rPr>
          <w:t>Santander Universities Network</w:t>
        </w:r>
      </w:hyperlink>
      <w:r w:rsidRPr="00E623CD">
        <w:rPr>
          <w:rStyle w:val="Hyperlink"/>
          <w:rFonts w:eastAsia="Times New Roman" w:cs="Times New Roman"/>
          <w:sz w:val="20"/>
          <w:szCs w:val="20"/>
        </w:rPr>
        <w:t>.</w:t>
      </w:r>
      <w:r w:rsidRPr="00E623CD">
        <w:rPr>
          <w:rFonts w:eastAsia="Times New Roman" w:cs="Times New Roman"/>
          <w:sz w:val="20"/>
          <w:szCs w:val="20"/>
        </w:rPr>
        <w:t xml:space="preserve"> </w:t>
      </w:r>
      <w:r w:rsidR="00F60311">
        <w:rPr>
          <w:rFonts w:eastAsia="Times New Roman" w:cs="Times New Roman"/>
          <w:sz w:val="20"/>
          <w:szCs w:val="20"/>
        </w:rPr>
        <w:t>Richness of the collaboration in terms of exchange and interaction (as compared to a transactional relationship).</w:t>
      </w:r>
    </w:p>
    <w:p w14:paraId="71EC8FE3" w14:textId="5E7D5190" w:rsidR="009511FA" w:rsidRPr="00E623CD" w:rsidRDefault="009511FA" w:rsidP="003F2BAD">
      <w:pPr>
        <w:numPr>
          <w:ilvl w:val="0"/>
          <w:numId w:val="9"/>
        </w:numPr>
        <w:spacing w:after="80" w:line="240" w:lineRule="auto"/>
        <w:rPr>
          <w:rFonts w:eastAsia="Times New Roman" w:cs="Times New Roman"/>
          <w:sz w:val="20"/>
          <w:szCs w:val="20"/>
        </w:rPr>
      </w:pPr>
      <w:r w:rsidRPr="00E623CD">
        <w:rPr>
          <w:rFonts w:eastAsia="Times New Roman" w:cs="Times New Roman"/>
          <w:sz w:val="20"/>
          <w:szCs w:val="20"/>
          <w:u w:val="single"/>
        </w:rPr>
        <w:t>Quality</w:t>
      </w:r>
      <w:r w:rsidRPr="00E623CD">
        <w:rPr>
          <w:rFonts w:eastAsia="Times New Roman" w:cs="Times New Roman"/>
          <w:sz w:val="20"/>
          <w:szCs w:val="20"/>
        </w:rPr>
        <w:t>: of the research activity proposed.</w:t>
      </w:r>
      <w:r w:rsidR="00F60311">
        <w:rPr>
          <w:rFonts w:eastAsia="Times New Roman" w:cs="Times New Roman"/>
          <w:sz w:val="20"/>
          <w:szCs w:val="20"/>
        </w:rPr>
        <w:t xml:space="preserve"> Interdisciplinary research proposals are encouraged and treated equally.</w:t>
      </w:r>
    </w:p>
    <w:p w14:paraId="1B58F772" w14:textId="77777777" w:rsidR="009511FA" w:rsidRPr="00E623CD" w:rsidRDefault="009511FA" w:rsidP="003F2BAD">
      <w:pPr>
        <w:numPr>
          <w:ilvl w:val="0"/>
          <w:numId w:val="9"/>
        </w:numPr>
        <w:spacing w:after="80" w:line="240" w:lineRule="auto"/>
        <w:rPr>
          <w:rFonts w:eastAsia="Times New Roman" w:cs="Times New Roman"/>
          <w:sz w:val="20"/>
          <w:szCs w:val="20"/>
        </w:rPr>
      </w:pPr>
      <w:r w:rsidRPr="00E623CD">
        <w:rPr>
          <w:rFonts w:eastAsia="Times New Roman" w:cs="Times New Roman"/>
          <w:sz w:val="20"/>
          <w:szCs w:val="20"/>
          <w:u w:val="single"/>
        </w:rPr>
        <w:t>Confidence of delivery</w:t>
      </w:r>
      <w:r w:rsidRPr="00E623CD">
        <w:rPr>
          <w:rFonts w:eastAsia="Times New Roman" w:cs="Times New Roman"/>
          <w:sz w:val="20"/>
          <w:szCs w:val="20"/>
        </w:rPr>
        <w:t xml:space="preserve">: The feasibility of completing the activity within the timeframe. </w:t>
      </w:r>
    </w:p>
    <w:p w14:paraId="3F198D2E" w14:textId="1CC92A40" w:rsidR="009511FA" w:rsidRPr="00E623CD" w:rsidRDefault="009511FA" w:rsidP="003F2BAD">
      <w:pPr>
        <w:numPr>
          <w:ilvl w:val="0"/>
          <w:numId w:val="9"/>
        </w:numPr>
        <w:spacing w:after="80" w:line="240" w:lineRule="auto"/>
        <w:rPr>
          <w:rFonts w:eastAsia="Times New Roman" w:cs="Times New Roman"/>
          <w:sz w:val="20"/>
          <w:szCs w:val="20"/>
        </w:rPr>
      </w:pPr>
      <w:r w:rsidRPr="00E623CD">
        <w:rPr>
          <w:rFonts w:eastAsia="Times New Roman" w:cs="Times New Roman"/>
          <w:sz w:val="20"/>
          <w:szCs w:val="20"/>
          <w:u w:val="single"/>
        </w:rPr>
        <w:t>Value for money</w:t>
      </w:r>
      <w:r w:rsidRPr="00E623CD">
        <w:rPr>
          <w:rFonts w:eastAsia="Times New Roman" w:cs="Times New Roman"/>
          <w:sz w:val="20"/>
          <w:szCs w:val="20"/>
        </w:rPr>
        <w:t xml:space="preserve">: </w:t>
      </w:r>
      <w:r>
        <w:rPr>
          <w:rFonts w:eastAsia="Times New Roman" w:cs="Times New Roman"/>
          <w:sz w:val="20"/>
          <w:szCs w:val="20"/>
        </w:rPr>
        <w:t>E</w:t>
      </w:r>
      <w:r w:rsidRPr="00E623CD">
        <w:rPr>
          <w:rFonts w:eastAsia="Times New Roman" w:cs="Times New Roman"/>
          <w:sz w:val="20"/>
          <w:szCs w:val="20"/>
        </w:rPr>
        <w:t xml:space="preserve">vidence </w:t>
      </w:r>
      <w:r>
        <w:rPr>
          <w:rFonts w:eastAsia="Times New Roman" w:cs="Times New Roman"/>
          <w:sz w:val="20"/>
          <w:szCs w:val="20"/>
        </w:rPr>
        <w:t xml:space="preserve">of </w:t>
      </w:r>
      <w:r w:rsidRPr="00E623CD">
        <w:rPr>
          <w:rFonts w:eastAsia="Times New Roman" w:cs="Times New Roman"/>
          <w:sz w:val="20"/>
          <w:szCs w:val="20"/>
        </w:rPr>
        <w:t xml:space="preserve">the ‘reach’ of the funding (in terms of beneficiaries from the award) are encouraged. </w:t>
      </w:r>
      <w:r>
        <w:rPr>
          <w:rFonts w:eastAsia="Times New Roman" w:cs="Times New Roman"/>
          <w:sz w:val="20"/>
          <w:szCs w:val="20"/>
        </w:rPr>
        <w:t>L</w:t>
      </w:r>
      <w:r w:rsidRPr="00E623CD">
        <w:rPr>
          <w:rFonts w:eastAsia="Times New Roman" w:cs="Times New Roman"/>
          <w:sz w:val="20"/>
          <w:szCs w:val="20"/>
        </w:rPr>
        <w:t xml:space="preserve">everaging </w:t>
      </w:r>
      <w:r>
        <w:rPr>
          <w:rFonts w:eastAsia="Times New Roman" w:cs="Times New Roman"/>
          <w:sz w:val="20"/>
          <w:szCs w:val="20"/>
        </w:rPr>
        <w:t xml:space="preserve">of </w:t>
      </w:r>
      <w:r w:rsidRPr="00E623CD">
        <w:rPr>
          <w:rFonts w:eastAsia="Times New Roman" w:cs="Times New Roman"/>
          <w:sz w:val="20"/>
          <w:szCs w:val="20"/>
        </w:rPr>
        <w:t>other external funding.</w:t>
      </w:r>
      <w:r w:rsidR="00F60311">
        <w:rPr>
          <w:rFonts w:eastAsia="Times New Roman" w:cs="Times New Roman"/>
          <w:sz w:val="20"/>
          <w:szCs w:val="20"/>
        </w:rPr>
        <w:t xml:space="preserve"> </w:t>
      </w:r>
    </w:p>
    <w:p w14:paraId="524A0376" w14:textId="731C8EA3" w:rsidR="009511FA" w:rsidRDefault="009511FA" w:rsidP="003F2BAD">
      <w:pPr>
        <w:numPr>
          <w:ilvl w:val="0"/>
          <w:numId w:val="9"/>
        </w:numPr>
        <w:spacing w:after="80" w:line="240" w:lineRule="auto"/>
        <w:rPr>
          <w:rFonts w:eastAsia="Times New Roman" w:cs="Times New Roman"/>
          <w:sz w:val="20"/>
          <w:szCs w:val="20"/>
        </w:rPr>
      </w:pPr>
      <w:r w:rsidRPr="00E623CD">
        <w:rPr>
          <w:rFonts w:eastAsia="Times New Roman" w:cs="Times New Roman"/>
          <w:sz w:val="20"/>
          <w:szCs w:val="20"/>
          <w:u w:val="single"/>
        </w:rPr>
        <w:t>Legacy</w:t>
      </w:r>
      <w:r w:rsidRPr="00E623CD">
        <w:rPr>
          <w:rFonts w:eastAsia="Times New Roman" w:cs="Times New Roman"/>
          <w:sz w:val="20"/>
          <w:szCs w:val="20"/>
        </w:rPr>
        <w:t>: How the collaboration will contribute to the OU research environment (e.g. potential for collaborative publications</w:t>
      </w:r>
      <w:r>
        <w:rPr>
          <w:rFonts w:eastAsia="Times New Roman" w:cs="Times New Roman"/>
          <w:sz w:val="20"/>
          <w:szCs w:val="20"/>
        </w:rPr>
        <w:t xml:space="preserve"> or </w:t>
      </w:r>
      <w:r w:rsidR="00F60311">
        <w:rPr>
          <w:rFonts w:eastAsia="Times New Roman" w:cs="Times New Roman"/>
          <w:sz w:val="20"/>
          <w:szCs w:val="20"/>
        </w:rPr>
        <w:t xml:space="preserve">credible </w:t>
      </w:r>
      <w:r w:rsidRPr="00E623CD">
        <w:rPr>
          <w:rFonts w:eastAsia="Times New Roman" w:cs="Times New Roman"/>
          <w:sz w:val="20"/>
          <w:szCs w:val="20"/>
        </w:rPr>
        <w:t>follow-on collaborati</w:t>
      </w:r>
      <w:r w:rsidR="00F60311">
        <w:rPr>
          <w:rFonts w:eastAsia="Times New Roman" w:cs="Times New Roman"/>
          <w:sz w:val="20"/>
          <w:szCs w:val="20"/>
        </w:rPr>
        <w:t>ons, including future collaborations on external research grants</w:t>
      </w:r>
      <w:r w:rsidRPr="00E623CD">
        <w:rPr>
          <w:rFonts w:eastAsia="Times New Roman" w:cs="Times New Roman"/>
          <w:sz w:val="20"/>
          <w:szCs w:val="20"/>
        </w:rPr>
        <w:t>)</w:t>
      </w:r>
    </w:p>
    <w:p w14:paraId="2998F9FA" w14:textId="129F1E20" w:rsidR="00491FA4" w:rsidRPr="00CD334E" w:rsidRDefault="00491FA4" w:rsidP="003F2BAD">
      <w:pPr>
        <w:numPr>
          <w:ilvl w:val="0"/>
          <w:numId w:val="9"/>
        </w:numPr>
        <w:spacing w:after="80" w:line="240" w:lineRule="auto"/>
        <w:rPr>
          <w:rFonts w:eastAsia="Times New Roman" w:cs="Times New Roman"/>
          <w:i/>
          <w:sz w:val="20"/>
          <w:szCs w:val="20"/>
        </w:rPr>
      </w:pPr>
      <w:bookmarkStart w:id="0" w:name="_Hlk19008550"/>
      <w:r w:rsidRPr="00CD334E">
        <w:rPr>
          <w:rFonts w:eastAsia="Times New Roman" w:cs="Times New Roman"/>
          <w:i/>
          <w:sz w:val="20"/>
          <w:szCs w:val="20"/>
        </w:rPr>
        <w:lastRenderedPageBreak/>
        <w:t xml:space="preserve">Preference will be given to applicants who demonstrate </w:t>
      </w:r>
      <w:r w:rsidR="00E50C7B" w:rsidRPr="00CD334E">
        <w:rPr>
          <w:rFonts w:eastAsia="Times New Roman" w:cs="Times New Roman"/>
          <w:i/>
          <w:sz w:val="20"/>
          <w:szCs w:val="20"/>
        </w:rPr>
        <w:t>evidence that their involvement in the proposed research activity would constitute widening participation</w:t>
      </w:r>
      <w:r w:rsidR="00B12380" w:rsidRPr="00CD334E">
        <w:rPr>
          <w:rFonts w:eastAsia="Times New Roman" w:cs="Times New Roman"/>
          <w:i/>
          <w:sz w:val="20"/>
          <w:szCs w:val="20"/>
        </w:rPr>
        <w:t xml:space="preserve"> </w:t>
      </w:r>
      <w:bookmarkStart w:id="1" w:name="_Hlk11755249"/>
      <w:r w:rsidR="00B12380" w:rsidRPr="00CD334E">
        <w:rPr>
          <w:rFonts w:eastAsia="Times New Roman" w:cs="Times New Roman"/>
          <w:i/>
          <w:sz w:val="20"/>
          <w:szCs w:val="20"/>
        </w:rPr>
        <w:t>(according to The Open University Access and Participation Plan 19/20)</w:t>
      </w:r>
      <w:r w:rsidR="00E50C7B" w:rsidRPr="00CD334E">
        <w:rPr>
          <w:rFonts w:eastAsia="Times New Roman" w:cs="Times New Roman"/>
          <w:i/>
          <w:sz w:val="20"/>
          <w:szCs w:val="20"/>
        </w:rPr>
        <w:t xml:space="preserve">. </w:t>
      </w:r>
      <w:r w:rsidR="00A2135B" w:rsidRPr="00CD334E">
        <w:rPr>
          <w:rFonts w:eastAsia="Times New Roman" w:cs="Times New Roman"/>
          <w:i/>
          <w:sz w:val="20"/>
          <w:szCs w:val="20"/>
        </w:rPr>
        <w:t>Target groups include:</w:t>
      </w:r>
    </w:p>
    <w:p w14:paraId="5E6CF995" w14:textId="6B99EBE5" w:rsidR="00A2135B" w:rsidRPr="00CD334E" w:rsidRDefault="00B12380" w:rsidP="00A2135B">
      <w:pPr>
        <w:numPr>
          <w:ilvl w:val="1"/>
          <w:numId w:val="9"/>
        </w:numPr>
        <w:spacing w:after="80" w:line="240" w:lineRule="auto"/>
        <w:rPr>
          <w:rFonts w:eastAsia="Times New Roman" w:cs="Times New Roman"/>
          <w:i/>
          <w:sz w:val="20"/>
          <w:szCs w:val="20"/>
        </w:rPr>
      </w:pPr>
      <w:r w:rsidRPr="00CD334E">
        <w:rPr>
          <w:rFonts w:eastAsia="Times New Roman" w:cs="Times New Roman"/>
          <w:i/>
          <w:sz w:val="20"/>
          <w:szCs w:val="20"/>
        </w:rPr>
        <w:t>Students from low socio-economic backgrounds</w:t>
      </w:r>
    </w:p>
    <w:p w14:paraId="0AFB9CFE" w14:textId="11C1BFDF" w:rsidR="00B12380" w:rsidRPr="00CD334E" w:rsidRDefault="00B12380" w:rsidP="00A2135B">
      <w:pPr>
        <w:numPr>
          <w:ilvl w:val="1"/>
          <w:numId w:val="9"/>
        </w:numPr>
        <w:spacing w:after="80" w:line="240" w:lineRule="auto"/>
        <w:rPr>
          <w:rFonts w:eastAsia="Times New Roman" w:cs="Times New Roman"/>
          <w:i/>
          <w:sz w:val="20"/>
          <w:szCs w:val="20"/>
        </w:rPr>
      </w:pPr>
      <w:r w:rsidRPr="00CD334E">
        <w:rPr>
          <w:rFonts w:eastAsia="Times New Roman" w:cs="Times New Roman"/>
          <w:i/>
          <w:sz w:val="20"/>
          <w:szCs w:val="20"/>
        </w:rPr>
        <w:t xml:space="preserve">Black African and black Caribbean students </w:t>
      </w:r>
    </w:p>
    <w:p w14:paraId="50EA9545" w14:textId="16551C53" w:rsidR="00B12380" w:rsidRPr="00CD334E" w:rsidRDefault="00B12380" w:rsidP="00A2135B">
      <w:pPr>
        <w:numPr>
          <w:ilvl w:val="1"/>
          <w:numId w:val="9"/>
        </w:numPr>
        <w:spacing w:after="80" w:line="240" w:lineRule="auto"/>
        <w:rPr>
          <w:rFonts w:eastAsia="Times New Roman" w:cs="Times New Roman"/>
          <w:i/>
          <w:sz w:val="20"/>
          <w:szCs w:val="20"/>
        </w:rPr>
      </w:pPr>
      <w:r w:rsidRPr="00CD334E">
        <w:rPr>
          <w:rFonts w:eastAsia="Times New Roman" w:cs="Times New Roman"/>
          <w:i/>
          <w:sz w:val="20"/>
          <w:szCs w:val="20"/>
        </w:rPr>
        <w:t>Disabled students</w:t>
      </w:r>
      <w:bookmarkStart w:id="2" w:name="_GoBack"/>
      <w:bookmarkEnd w:id="2"/>
    </w:p>
    <w:p w14:paraId="5A2C5ADE" w14:textId="77A9B9A7" w:rsidR="00B12380" w:rsidRPr="00CD334E" w:rsidRDefault="00B12380" w:rsidP="00A2135B">
      <w:pPr>
        <w:numPr>
          <w:ilvl w:val="1"/>
          <w:numId w:val="9"/>
        </w:numPr>
        <w:spacing w:after="80" w:line="240" w:lineRule="auto"/>
        <w:rPr>
          <w:rFonts w:eastAsia="Times New Roman" w:cs="Times New Roman"/>
          <w:i/>
          <w:sz w:val="20"/>
          <w:szCs w:val="20"/>
        </w:rPr>
      </w:pPr>
      <w:proofErr w:type="spellStart"/>
      <w:r w:rsidRPr="00CD334E">
        <w:rPr>
          <w:rFonts w:eastAsia="Times New Roman" w:cs="Times New Roman"/>
          <w:i/>
          <w:sz w:val="20"/>
          <w:szCs w:val="20"/>
        </w:rPr>
        <w:t>Carers</w:t>
      </w:r>
      <w:proofErr w:type="spellEnd"/>
      <w:r w:rsidRPr="00CD334E">
        <w:rPr>
          <w:rFonts w:eastAsia="Times New Roman" w:cs="Times New Roman"/>
          <w:i/>
          <w:sz w:val="20"/>
          <w:szCs w:val="20"/>
        </w:rPr>
        <w:t>, care leavers or care experienced leavers</w:t>
      </w:r>
    </w:p>
    <w:p w14:paraId="45443B1F" w14:textId="40E9B601" w:rsidR="00B12380" w:rsidRPr="00CD334E" w:rsidRDefault="00B12380" w:rsidP="00A2135B">
      <w:pPr>
        <w:numPr>
          <w:ilvl w:val="1"/>
          <w:numId w:val="9"/>
        </w:numPr>
        <w:spacing w:after="80" w:line="240" w:lineRule="auto"/>
        <w:rPr>
          <w:rFonts w:eastAsia="Times New Roman" w:cs="Times New Roman"/>
          <w:i/>
          <w:sz w:val="20"/>
          <w:szCs w:val="20"/>
        </w:rPr>
      </w:pPr>
      <w:r w:rsidRPr="00CD334E">
        <w:rPr>
          <w:rFonts w:eastAsia="Times New Roman" w:cs="Times New Roman"/>
          <w:i/>
          <w:sz w:val="20"/>
          <w:szCs w:val="20"/>
        </w:rPr>
        <w:t>Students with low previous educational qualifications (LPEQs)</w:t>
      </w:r>
    </w:p>
    <w:bookmarkEnd w:id="1"/>
    <w:bookmarkEnd w:id="0"/>
    <w:p w14:paraId="2B64500B" w14:textId="77777777" w:rsidR="009511FA" w:rsidRDefault="009511FA" w:rsidP="003F2BAD">
      <w:pPr>
        <w:spacing w:after="80" w:line="240" w:lineRule="auto"/>
        <w:outlineLvl w:val="3"/>
        <w:rPr>
          <w:rFonts w:eastAsia="Times New Roman" w:cs="Times New Roman"/>
          <w:b/>
          <w:bCs/>
          <w:color w:val="000000"/>
        </w:rPr>
      </w:pPr>
    </w:p>
    <w:p w14:paraId="31FE9DC0" w14:textId="77777777" w:rsidR="00895705" w:rsidRDefault="00895705" w:rsidP="00895705">
      <w:pPr>
        <w:spacing w:after="0" w:line="240" w:lineRule="auto"/>
        <w:outlineLvl w:val="3"/>
        <w:rPr>
          <w:rFonts w:eastAsia="Times New Roman" w:cs="Times New Roman"/>
          <w:b/>
          <w:bCs/>
          <w:color w:val="000000"/>
        </w:rPr>
      </w:pPr>
      <w:r>
        <w:rPr>
          <w:rFonts w:eastAsia="Times New Roman" w:cs="Times New Roman"/>
          <w:b/>
          <w:bCs/>
          <w:color w:val="000000"/>
        </w:rPr>
        <w:t>Following a successful application</w:t>
      </w:r>
    </w:p>
    <w:p w14:paraId="04AB9AA9" w14:textId="544F24A1" w:rsidR="0039635B" w:rsidRPr="00393301" w:rsidRDefault="009511FA" w:rsidP="00393301">
      <w:pPr>
        <w:pStyle w:val="ListParagraph"/>
        <w:numPr>
          <w:ilvl w:val="0"/>
          <w:numId w:val="9"/>
        </w:numPr>
        <w:spacing w:after="80" w:line="240" w:lineRule="auto"/>
        <w:contextualSpacing w:val="0"/>
        <w:outlineLvl w:val="3"/>
        <w:rPr>
          <w:rFonts w:eastAsia="Times New Roman" w:cs="Times New Roman"/>
          <w:bCs/>
          <w:color w:val="000000"/>
          <w:sz w:val="20"/>
          <w:szCs w:val="20"/>
        </w:rPr>
      </w:pPr>
      <w:r w:rsidRPr="003F2BAD">
        <w:rPr>
          <w:rFonts w:eastAsia="Times New Roman" w:cs="Times New Roman"/>
          <w:bCs/>
          <w:color w:val="000000"/>
          <w:sz w:val="20"/>
          <w:szCs w:val="20"/>
          <w:u w:val="single"/>
        </w:rPr>
        <w:t>Budget</w:t>
      </w:r>
      <w:r w:rsidR="00322786">
        <w:rPr>
          <w:rFonts w:eastAsia="Times New Roman" w:cs="Times New Roman"/>
          <w:bCs/>
          <w:color w:val="000000"/>
          <w:sz w:val="20"/>
          <w:szCs w:val="20"/>
          <w:u w:val="single"/>
        </w:rPr>
        <w:t>s</w:t>
      </w:r>
      <w:r>
        <w:rPr>
          <w:rFonts w:eastAsia="Times New Roman" w:cs="Times New Roman"/>
          <w:bCs/>
          <w:color w:val="000000"/>
          <w:sz w:val="20"/>
          <w:szCs w:val="20"/>
        </w:rPr>
        <w:t xml:space="preserve">: </w:t>
      </w:r>
      <w:r w:rsidR="003C6E4C" w:rsidRPr="003F2BAD">
        <w:rPr>
          <w:rFonts w:eastAsia="Times New Roman" w:cs="Times New Roman"/>
          <w:bCs/>
          <w:color w:val="000000"/>
          <w:sz w:val="20"/>
          <w:szCs w:val="20"/>
        </w:rPr>
        <w:t>R</w:t>
      </w:r>
      <w:r w:rsidR="00BF3102">
        <w:rPr>
          <w:rFonts w:eastAsia="Times New Roman" w:cs="Times New Roman"/>
          <w:bCs/>
          <w:color w:val="000000"/>
          <w:sz w:val="20"/>
          <w:szCs w:val="20"/>
        </w:rPr>
        <w:t>E</w:t>
      </w:r>
      <w:r w:rsidR="003C6E4C" w:rsidRPr="003F2BAD">
        <w:rPr>
          <w:rFonts w:eastAsia="Times New Roman" w:cs="Times New Roman"/>
          <w:bCs/>
          <w:color w:val="000000"/>
          <w:sz w:val="20"/>
          <w:szCs w:val="20"/>
        </w:rPr>
        <w:t xml:space="preserve">S will </w:t>
      </w:r>
      <w:r>
        <w:rPr>
          <w:rFonts w:eastAsia="Times New Roman" w:cs="Times New Roman"/>
          <w:bCs/>
          <w:color w:val="000000"/>
          <w:sz w:val="20"/>
          <w:szCs w:val="20"/>
        </w:rPr>
        <w:t xml:space="preserve">arrange transfer to </w:t>
      </w:r>
      <w:r w:rsidR="003C6E4C" w:rsidRPr="003F2BAD">
        <w:rPr>
          <w:rFonts w:eastAsia="Times New Roman" w:cs="Times New Roman"/>
          <w:bCs/>
          <w:color w:val="000000"/>
          <w:sz w:val="20"/>
          <w:szCs w:val="20"/>
        </w:rPr>
        <w:t>a School/Faculty</w:t>
      </w:r>
      <w:r>
        <w:rPr>
          <w:rFonts w:eastAsia="Times New Roman" w:cs="Times New Roman"/>
          <w:bCs/>
          <w:color w:val="000000"/>
          <w:sz w:val="20"/>
          <w:szCs w:val="20"/>
        </w:rPr>
        <w:t xml:space="preserve"> </w:t>
      </w:r>
      <w:r w:rsidRPr="00E623CD">
        <w:rPr>
          <w:rFonts w:eastAsia="Times New Roman" w:cs="Times New Roman"/>
          <w:bCs/>
          <w:color w:val="000000"/>
          <w:sz w:val="20"/>
          <w:szCs w:val="20"/>
        </w:rPr>
        <w:t>budget code</w:t>
      </w:r>
      <w:r w:rsidR="00A80C4B" w:rsidRPr="003F2BAD">
        <w:rPr>
          <w:rFonts w:eastAsia="Times New Roman" w:cs="Times New Roman"/>
          <w:bCs/>
          <w:color w:val="000000"/>
          <w:sz w:val="20"/>
          <w:szCs w:val="20"/>
        </w:rPr>
        <w:t xml:space="preserve">.  </w:t>
      </w:r>
      <w:r w:rsidR="00322786" w:rsidRPr="00393301">
        <w:rPr>
          <w:rFonts w:eastAsia="Times New Roman" w:cs="Times New Roman"/>
          <w:bCs/>
          <w:color w:val="000000"/>
          <w:sz w:val="20"/>
          <w:szCs w:val="20"/>
        </w:rPr>
        <w:t>A</w:t>
      </w:r>
      <w:r w:rsidRPr="00393301">
        <w:rPr>
          <w:rFonts w:eastAsia="Times New Roman" w:cs="Times New Roman"/>
          <w:bCs/>
          <w:color w:val="000000"/>
          <w:sz w:val="20"/>
          <w:szCs w:val="20"/>
        </w:rPr>
        <w:t>dministration</w:t>
      </w:r>
      <w:r w:rsidR="00322786" w:rsidRPr="00393301">
        <w:rPr>
          <w:rFonts w:eastAsia="Times New Roman" w:cs="Times New Roman"/>
          <w:bCs/>
          <w:color w:val="000000"/>
          <w:sz w:val="20"/>
          <w:szCs w:val="20"/>
        </w:rPr>
        <w:t xml:space="preserve"> of the f</w:t>
      </w:r>
      <w:r w:rsidR="00255068" w:rsidRPr="00393301">
        <w:rPr>
          <w:rFonts w:eastAsia="Times New Roman" w:cs="Times New Roman"/>
          <w:bCs/>
          <w:color w:val="000000"/>
          <w:sz w:val="20"/>
          <w:szCs w:val="20"/>
        </w:rPr>
        <w:t>unding</w:t>
      </w:r>
      <w:r w:rsidR="0039635B" w:rsidRPr="00393301">
        <w:rPr>
          <w:rFonts w:eastAsia="Times New Roman" w:cs="Times New Roman"/>
          <w:bCs/>
          <w:color w:val="000000"/>
          <w:sz w:val="20"/>
          <w:szCs w:val="20"/>
        </w:rPr>
        <w:t xml:space="preserve"> will be managed </w:t>
      </w:r>
      <w:r w:rsidR="00A80C4B" w:rsidRPr="00393301">
        <w:rPr>
          <w:rFonts w:eastAsia="Times New Roman" w:cs="Times New Roman"/>
          <w:bCs/>
          <w:color w:val="000000"/>
          <w:sz w:val="20"/>
          <w:szCs w:val="20"/>
        </w:rPr>
        <w:t>through</w:t>
      </w:r>
      <w:r w:rsidR="0039635B" w:rsidRPr="00393301">
        <w:rPr>
          <w:rFonts w:eastAsia="Times New Roman" w:cs="Times New Roman"/>
          <w:bCs/>
          <w:color w:val="000000"/>
          <w:sz w:val="20"/>
          <w:szCs w:val="20"/>
        </w:rPr>
        <w:t xml:space="preserve"> </w:t>
      </w:r>
      <w:r w:rsidR="00322786">
        <w:rPr>
          <w:rFonts w:eastAsia="Times New Roman" w:cs="Times New Roman"/>
          <w:bCs/>
          <w:color w:val="000000"/>
          <w:sz w:val="20"/>
          <w:szCs w:val="20"/>
        </w:rPr>
        <w:t xml:space="preserve">your </w:t>
      </w:r>
      <w:r w:rsidR="003C6E4C" w:rsidRPr="00393301">
        <w:rPr>
          <w:rFonts w:eastAsia="Times New Roman" w:cs="Times New Roman"/>
          <w:bCs/>
          <w:color w:val="000000"/>
          <w:sz w:val="20"/>
          <w:szCs w:val="20"/>
        </w:rPr>
        <w:t>School or Faculty</w:t>
      </w:r>
      <w:r w:rsidR="00255068" w:rsidRPr="00393301">
        <w:rPr>
          <w:rFonts w:eastAsia="Times New Roman" w:cs="Times New Roman"/>
          <w:bCs/>
          <w:color w:val="000000"/>
          <w:sz w:val="20"/>
          <w:szCs w:val="20"/>
        </w:rPr>
        <w:t>. Q</w:t>
      </w:r>
      <w:r w:rsidR="0039635B" w:rsidRPr="00393301">
        <w:rPr>
          <w:rFonts w:eastAsia="Times New Roman" w:cs="Times New Roman"/>
          <w:bCs/>
          <w:color w:val="000000"/>
          <w:sz w:val="20"/>
          <w:szCs w:val="20"/>
        </w:rPr>
        <w:t>uestions regarding the budget should be directed to your</w:t>
      </w:r>
      <w:r w:rsidR="00255068" w:rsidRPr="00393301">
        <w:rPr>
          <w:rFonts w:eastAsia="Times New Roman" w:cs="Times New Roman"/>
          <w:bCs/>
          <w:color w:val="000000"/>
          <w:sz w:val="20"/>
          <w:szCs w:val="20"/>
        </w:rPr>
        <w:t xml:space="preserve"> </w:t>
      </w:r>
      <w:r w:rsidR="0051458F" w:rsidRPr="00393301">
        <w:rPr>
          <w:rFonts w:eastAsia="Times New Roman" w:cs="Times New Roman"/>
          <w:bCs/>
          <w:color w:val="000000"/>
          <w:sz w:val="20"/>
          <w:szCs w:val="20"/>
        </w:rPr>
        <w:t>School</w:t>
      </w:r>
      <w:r w:rsidR="00255068" w:rsidRPr="00393301">
        <w:rPr>
          <w:rFonts w:eastAsia="Times New Roman" w:cs="Times New Roman"/>
          <w:bCs/>
          <w:color w:val="000000"/>
          <w:sz w:val="20"/>
          <w:szCs w:val="20"/>
        </w:rPr>
        <w:t xml:space="preserve"> </w:t>
      </w:r>
      <w:r w:rsidR="00A80C4B" w:rsidRPr="00393301">
        <w:rPr>
          <w:rFonts w:eastAsia="Times New Roman" w:cs="Times New Roman"/>
          <w:bCs/>
          <w:color w:val="000000"/>
          <w:sz w:val="20"/>
          <w:szCs w:val="20"/>
        </w:rPr>
        <w:t>administration</w:t>
      </w:r>
      <w:r w:rsidR="00255068" w:rsidRPr="00393301">
        <w:rPr>
          <w:rFonts w:eastAsia="Times New Roman" w:cs="Times New Roman"/>
          <w:bCs/>
          <w:color w:val="000000"/>
          <w:sz w:val="20"/>
          <w:szCs w:val="20"/>
        </w:rPr>
        <w:t xml:space="preserve"> team </w:t>
      </w:r>
      <w:r w:rsidR="0039635B" w:rsidRPr="00393301">
        <w:rPr>
          <w:rFonts w:eastAsia="Times New Roman" w:cs="Times New Roman"/>
          <w:bCs/>
          <w:color w:val="000000"/>
          <w:sz w:val="20"/>
          <w:szCs w:val="20"/>
        </w:rPr>
        <w:t xml:space="preserve">in the first instance.  </w:t>
      </w:r>
    </w:p>
    <w:p w14:paraId="00A630BF" w14:textId="69BBBE03" w:rsidR="00E402C6" w:rsidRPr="003F2BAD" w:rsidRDefault="009511FA" w:rsidP="003F2BAD">
      <w:pPr>
        <w:pStyle w:val="ListParagraph"/>
        <w:numPr>
          <w:ilvl w:val="0"/>
          <w:numId w:val="9"/>
        </w:numPr>
        <w:spacing w:after="80" w:line="240" w:lineRule="auto"/>
        <w:contextualSpacing w:val="0"/>
        <w:outlineLvl w:val="3"/>
        <w:rPr>
          <w:rFonts w:eastAsia="Times New Roman" w:cs="Times New Roman"/>
          <w:bCs/>
          <w:color w:val="000000"/>
          <w:sz w:val="20"/>
          <w:szCs w:val="20"/>
        </w:rPr>
      </w:pPr>
      <w:r w:rsidRPr="003F2BAD">
        <w:rPr>
          <w:rFonts w:eastAsia="Times New Roman" w:cs="Times New Roman"/>
          <w:bCs/>
          <w:color w:val="000000"/>
          <w:sz w:val="20"/>
          <w:szCs w:val="20"/>
          <w:u w:val="single"/>
        </w:rPr>
        <w:t>Slippage</w:t>
      </w:r>
      <w:r>
        <w:rPr>
          <w:rFonts w:eastAsia="Times New Roman" w:cs="Times New Roman"/>
          <w:bCs/>
          <w:color w:val="000000"/>
          <w:sz w:val="20"/>
          <w:szCs w:val="20"/>
        </w:rPr>
        <w:t xml:space="preserve">: </w:t>
      </w:r>
      <w:r w:rsidR="00C06274" w:rsidRPr="003F2BAD">
        <w:rPr>
          <w:rFonts w:eastAsia="Times New Roman" w:cs="Times New Roman"/>
          <w:bCs/>
          <w:color w:val="000000"/>
          <w:sz w:val="20"/>
          <w:szCs w:val="20"/>
        </w:rPr>
        <w:t>If circumstances beyond your control mean that a significant portion of the award is not able to be spent within the agreed timeframe or for the specified activities, you will need to contact</w:t>
      </w:r>
      <w:r w:rsidR="00322786">
        <w:rPr>
          <w:rFonts w:eastAsia="Times New Roman" w:cs="Times New Roman"/>
          <w:bCs/>
          <w:color w:val="000000"/>
          <w:sz w:val="20"/>
          <w:szCs w:val="20"/>
        </w:rPr>
        <w:t xml:space="preserve"> </w:t>
      </w:r>
      <w:r w:rsidR="00BF3102" w:rsidRPr="00BF3102">
        <w:rPr>
          <w:rStyle w:val="Hyperlink"/>
          <w:rFonts w:eastAsia="Times New Roman" w:cs="Times New Roman"/>
          <w:sz w:val="20"/>
          <w:szCs w:val="20"/>
        </w:rPr>
        <w:t>RES</w:t>
      </w:r>
      <w:r w:rsidR="00BF3102">
        <w:rPr>
          <w:rStyle w:val="Hyperlink"/>
          <w:rFonts w:eastAsia="Times New Roman" w:cs="Times New Roman"/>
          <w:sz w:val="20"/>
          <w:szCs w:val="20"/>
        </w:rPr>
        <w:t>-Student-Programmes@open.ac.uk</w:t>
      </w:r>
      <w:r w:rsidR="00C06274" w:rsidRPr="003F2BAD">
        <w:rPr>
          <w:rFonts w:eastAsia="Times New Roman" w:cs="Times New Roman"/>
          <w:bCs/>
          <w:color w:val="000000"/>
          <w:sz w:val="20"/>
          <w:szCs w:val="20"/>
        </w:rPr>
        <w:t xml:space="preserve"> as soon as possible to discuss next steps. </w:t>
      </w:r>
      <w:r w:rsidR="00322786">
        <w:rPr>
          <w:rFonts w:eastAsia="Times New Roman" w:cs="Times New Roman"/>
          <w:bCs/>
          <w:color w:val="000000"/>
          <w:sz w:val="20"/>
          <w:szCs w:val="20"/>
        </w:rPr>
        <w:t xml:space="preserve">We aim to accommodate slippage where possible. </w:t>
      </w:r>
    </w:p>
    <w:p w14:paraId="25BD9511" w14:textId="6CBAC1E9" w:rsidR="00E402C6" w:rsidRPr="003F2BAD" w:rsidRDefault="00E44961" w:rsidP="003F2BAD">
      <w:pPr>
        <w:pStyle w:val="ListParagraph"/>
        <w:numPr>
          <w:ilvl w:val="0"/>
          <w:numId w:val="9"/>
        </w:numPr>
        <w:spacing w:after="80" w:line="240" w:lineRule="auto"/>
        <w:contextualSpacing w:val="0"/>
        <w:outlineLvl w:val="3"/>
        <w:rPr>
          <w:rFonts w:eastAsia="Times New Roman" w:cs="Times New Roman"/>
          <w:bCs/>
          <w:color w:val="000000"/>
          <w:sz w:val="20"/>
          <w:szCs w:val="20"/>
        </w:rPr>
      </w:pPr>
      <w:r w:rsidRPr="003F2BAD">
        <w:rPr>
          <w:rFonts w:eastAsia="Times New Roman" w:cs="Times New Roman"/>
          <w:bCs/>
          <w:color w:val="000000"/>
          <w:sz w:val="20"/>
          <w:szCs w:val="20"/>
          <w:u w:val="single"/>
        </w:rPr>
        <w:t>Social Media</w:t>
      </w:r>
      <w:r w:rsidR="00322786">
        <w:rPr>
          <w:rFonts w:eastAsia="Times New Roman" w:cs="Times New Roman"/>
          <w:bCs/>
          <w:color w:val="000000"/>
          <w:sz w:val="20"/>
          <w:szCs w:val="20"/>
          <w:u w:val="single"/>
        </w:rPr>
        <w:t xml:space="preserve"> &amp; communications</w:t>
      </w:r>
      <w:r w:rsidR="00E402C6" w:rsidRPr="003F2BAD">
        <w:rPr>
          <w:rFonts w:eastAsia="Times New Roman" w:cs="Times New Roman"/>
          <w:bCs/>
          <w:color w:val="000000"/>
          <w:sz w:val="20"/>
          <w:szCs w:val="20"/>
        </w:rPr>
        <w:t xml:space="preserve">: Santander is keen to promote via its social media presence its support to your research. This requires you to consider capturing a </w:t>
      </w:r>
      <w:r w:rsidR="00322786">
        <w:rPr>
          <w:rFonts w:eastAsia="Times New Roman" w:cs="Times New Roman"/>
          <w:bCs/>
          <w:color w:val="000000"/>
          <w:sz w:val="20"/>
          <w:szCs w:val="20"/>
        </w:rPr>
        <w:t xml:space="preserve">few </w:t>
      </w:r>
      <w:r w:rsidR="00E402C6" w:rsidRPr="003F2BAD">
        <w:rPr>
          <w:rFonts w:eastAsia="Times New Roman" w:cs="Times New Roman"/>
          <w:bCs/>
          <w:color w:val="000000"/>
          <w:sz w:val="20"/>
          <w:szCs w:val="20"/>
        </w:rPr>
        <w:t>picture</w:t>
      </w:r>
      <w:r w:rsidR="00322786">
        <w:rPr>
          <w:rFonts w:eastAsia="Times New Roman" w:cs="Times New Roman"/>
          <w:bCs/>
          <w:color w:val="000000"/>
          <w:sz w:val="20"/>
          <w:szCs w:val="20"/>
        </w:rPr>
        <w:t>s</w:t>
      </w:r>
      <w:r w:rsidR="00E402C6" w:rsidRPr="003F2BAD">
        <w:rPr>
          <w:rFonts w:eastAsia="Times New Roman" w:cs="Times New Roman"/>
          <w:bCs/>
          <w:color w:val="000000"/>
          <w:sz w:val="20"/>
          <w:szCs w:val="20"/>
        </w:rPr>
        <w:t xml:space="preserve"> or short (20sec) video on location for public use </w:t>
      </w:r>
      <w:r w:rsidR="00322786">
        <w:rPr>
          <w:rFonts w:eastAsia="Times New Roman" w:cs="Times New Roman"/>
          <w:bCs/>
          <w:color w:val="000000"/>
          <w:sz w:val="20"/>
          <w:szCs w:val="20"/>
        </w:rPr>
        <w:t xml:space="preserve">using your mobile phone </w:t>
      </w:r>
      <w:r w:rsidR="00E402C6" w:rsidRPr="003F2BAD">
        <w:rPr>
          <w:rFonts w:eastAsia="Times New Roman" w:cs="Times New Roman"/>
          <w:bCs/>
          <w:color w:val="000000"/>
          <w:sz w:val="20"/>
          <w:szCs w:val="20"/>
        </w:rPr>
        <w:t>(on a voluntary basis). A guidance note will be provided when an award is made.</w:t>
      </w:r>
      <w:r w:rsidR="00322786">
        <w:rPr>
          <w:rFonts w:eastAsia="Times New Roman" w:cs="Times New Roman"/>
          <w:bCs/>
          <w:color w:val="000000"/>
          <w:sz w:val="20"/>
          <w:szCs w:val="20"/>
        </w:rPr>
        <w:t xml:space="preserve"> The Comms department may also be interested in forming a case study from the award to showcase the research and arising benefits/beneficiaries.</w:t>
      </w:r>
    </w:p>
    <w:p w14:paraId="07823871" w14:textId="77777777" w:rsidR="00E44961" w:rsidRPr="003F2BAD" w:rsidRDefault="00E44961" w:rsidP="003F2BAD">
      <w:pPr>
        <w:spacing w:after="80" w:line="240" w:lineRule="auto"/>
        <w:outlineLvl w:val="3"/>
        <w:rPr>
          <w:rFonts w:eastAsia="Times New Roman" w:cs="Times New Roman"/>
          <w:bCs/>
          <w:color w:val="000000"/>
          <w:sz w:val="20"/>
          <w:szCs w:val="20"/>
        </w:rPr>
      </w:pPr>
    </w:p>
    <w:p w14:paraId="1955BD5A" w14:textId="791EBDD9" w:rsidR="008D2B9B" w:rsidRDefault="00603A04" w:rsidP="00393301">
      <w:r>
        <w:rPr>
          <w:sz w:val="20"/>
          <w:szCs w:val="20"/>
        </w:rPr>
        <w:t>–End-</w:t>
      </w:r>
    </w:p>
    <w:sectPr w:rsidR="008D2B9B" w:rsidSect="003F2BAD">
      <w:headerReference w:type="default" r:id="rId11"/>
      <w:footerReference w:type="default" r:id="rId12"/>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5E1ED" w14:textId="77777777" w:rsidR="00B12380" w:rsidRDefault="00B12380" w:rsidP="000641F4">
      <w:pPr>
        <w:spacing w:after="0" w:line="240" w:lineRule="auto"/>
      </w:pPr>
      <w:r>
        <w:separator/>
      </w:r>
    </w:p>
  </w:endnote>
  <w:endnote w:type="continuationSeparator" w:id="0">
    <w:p w14:paraId="05FCBA41" w14:textId="77777777" w:rsidR="00B12380" w:rsidRDefault="00B12380" w:rsidP="0006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D4189" w14:textId="07A9F00D" w:rsidR="00B12380" w:rsidRPr="00661914" w:rsidRDefault="00B12380" w:rsidP="00DC2366">
    <w:pPr>
      <w:spacing w:after="0"/>
      <w:rPr>
        <w:sz w:val="16"/>
        <w:szCs w:val="16"/>
      </w:rPr>
    </w:pPr>
    <w:r w:rsidRPr="00661914">
      <w:rPr>
        <w:sz w:val="16"/>
        <w:szCs w:val="16"/>
      </w:rPr>
      <w:t xml:space="preserve">Owner </w:t>
    </w:r>
    <w:r w:rsidR="00783EF6">
      <w:rPr>
        <w:sz w:val="16"/>
        <w:szCs w:val="16"/>
      </w:rPr>
      <w:t>Robert Wilson, Manager, Student Opportunities</w:t>
    </w:r>
    <w:r w:rsidRPr="00661914">
      <w:rPr>
        <w:sz w:val="16"/>
        <w:szCs w:val="16"/>
      </w:rPr>
      <w:t xml:space="preserve">, </w:t>
    </w:r>
    <w:r w:rsidR="00783EF6">
      <w:rPr>
        <w:sz w:val="16"/>
        <w:szCs w:val="16"/>
      </w:rPr>
      <w:t>E: Robert.wilson@open.ac.uk</w:t>
    </w:r>
    <w:r w:rsidRPr="00661914">
      <w:rPr>
        <w:sz w:val="16"/>
        <w:szCs w:val="16"/>
      </w:rPr>
      <w:t>, T: 5</w:t>
    </w:r>
    <w:r w:rsidR="00783EF6">
      <w:rPr>
        <w:sz w:val="16"/>
        <w:szCs w:val="16"/>
      </w:rPr>
      <w:t>2581</w:t>
    </w:r>
    <w:r w:rsidRPr="00661914">
      <w:rPr>
        <w:sz w:val="16"/>
        <w:szCs w:val="16"/>
      </w:rPr>
      <w:ptab w:relativeTo="margin" w:alignment="right" w:leader="none"/>
    </w:r>
    <w:r w:rsidRPr="00661914">
      <w:rPr>
        <w:sz w:val="16"/>
        <w:szCs w:val="16"/>
      </w:rPr>
      <w:t xml:space="preserve">Page </w:t>
    </w:r>
    <w:r w:rsidRPr="00661914">
      <w:rPr>
        <w:sz w:val="16"/>
        <w:szCs w:val="16"/>
      </w:rPr>
      <w:fldChar w:fldCharType="begin"/>
    </w:r>
    <w:r w:rsidRPr="00661914">
      <w:rPr>
        <w:sz w:val="16"/>
        <w:szCs w:val="16"/>
      </w:rPr>
      <w:instrText xml:space="preserve"> PAGE   \* MERGEFORMAT </w:instrText>
    </w:r>
    <w:r w:rsidRPr="00661914">
      <w:rPr>
        <w:sz w:val="16"/>
        <w:szCs w:val="16"/>
      </w:rPr>
      <w:fldChar w:fldCharType="separate"/>
    </w:r>
    <w:r>
      <w:rPr>
        <w:noProof/>
        <w:sz w:val="16"/>
        <w:szCs w:val="16"/>
      </w:rPr>
      <w:t>2</w:t>
    </w:r>
    <w:r w:rsidRPr="00661914">
      <w:rPr>
        <w:sz w:val="16"/>
        <w:szCs w:val="16"/>
      </w:rPr>
      <w:fldChar w:fldCharType="end"/>
    </w:r>
    <w:r w:rsidRPr="00661914">
      <w:rPr>
        <w:sz w:val="16"/>
        <w:szCs w:val="16"/>
      </w:rPr>
      <w:t>-</w:t>
    </w:r>
    <w:r w:rsidRPr="00661914">
      <w:rPr>
        <w:sz w:val="16"/>
        <w:szCs w:val="16"/>
      </w:rPr>
      <w:fldChar w:fldCharType="begin"/>
    </w:r>
    <w:r w:rsidRPr="00661914">
      <w:rPr>
        <w:sz w:val="16"/>
        <w:szCs w:val="16"/>
      </w:rPr>
      <w:instrText xml:space="preserve"> NUMPAGES </w:instrText>
    </w:r>
    <w:r w:rsidRPr="00661914">
      <w:rPr>
        <w:sz w:val="16"/>
        <w:szCs w:val="16"/>
      </w:rPr>
      <w:fldChar w:fldCharType="separate"/>
    </w:r>
    <w:r>
      <w:rPr>
        <w:noProof/>
        <w:sz w:val="16"/>
        <w:szCs w:val="16"/>
      </w:rPr>
      <w:t>2</w:t>
    </w:r>
    <w:r w:rsidRPr="00661914">
      <w:rPr>
        <w:sz w:val="16"/>
        <w:szCs w:val="16"/>
      </w:rPr>
      <w:fldChar w:fldCharType="end"/>
    </w:r>
  </w:p>
  <w:p w14:paraId="64A39D7E" w14:textId="69219D12" w:rsidR="00B12380" w:rsidRDefault="00B12380" w:rsidP="003C6EA1">
    <w:pPr>
      <w:pStyle w:val="Footer"/>
    </w:pPr>
    <w:r w:rsidRPr="00661914">
      <w:rPr>
        <w:sz w:val="16"/>
        <w:szCs w:val="16"/>
      </w:rPr>
      <w:t xml:space="preserve">Location </w:t>
    </w:r>
    <w:r w:rsidRPr="00661914">
      <w:rPr>
        <w:sz w:val="16"/>
        <w:szCs w:val="16"/>
      </w:rPr>
      <w:fldChar w:fldCharType="begin"/>
    </w:r>
    <w:r w:rsidRPr="00661914">
      <w:rPr>
        <w:sz w:val="16"/>
        <w:szCs w:val="16"/>
      </w:rPr>
      <w:instrText xml:space="preserve"> FILENAME \p \* MERGEFORMAT </w:instrText>
    </w:r>
    <w:r w:rsidRPr="00661914">
      <w:rPr>
        <w:sz w:val="16"/>
        <w:szCs w:val="16"/>
      </w:rPr>
      <w:fldChar w:fldCharType="separate"/>
    </w:r>
    <w:r w:rsidR="006515BC">
      <w:rPr>
        <w:noProof/>
        <w:sz w:val="16"/>
        <w:szCs w:val="16"/>
      </w:rPr>
      <w:t>W:\Research\Institutional Research Management\Funding\Santander\0-Administration\Application and Guidance\Santander-Guidance-for-Applications_190618.docx</w:t>
    </w:r>
    <w:r w:rsidRPr="0066191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DC06B" w14:textId="77777777" w:rsidR="00B12380" w:rsidRDefault="00B12380" w:rsidP="000641F4">
      <w:pPr>
        <w:spacing w:after="0" w:line="240" w:lineRule="auto"/>
      </w:pPr>
      <w:r>
        <w:separator/>
      </w:r>
    </w:p>
  </w:footnote>
  <w:footnote w:type="continuationSeparator" w:id="0">
    <w:p w14:paraId="0EBA04B5" w14:textId="77777777" w:rsidR="00B12380" w:rsidRDefault="00B12380" w:rsidP="0006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2F85" w14:textId="6FD01576" w:rsidR="00B12380" w:rsidRPr="009C1DA3" w:rsidRDefault="00B12380" w:rsidP="009C1DA3">
    <w:pPr>
      <w:pStyle w:val="Footer"/>
      <w:rPr>
        <w:sz w:val="20"/>
        <w:szCs w:val="20"/>
      </w:rPr>
    </w:pPr>
    <w:r w:rsidRPr="009C1DA3">
      <w:rPr>
        <w:sz w:val="20"/>
        <w:szCs w:val="20"/>
      </w:rPr>
      <w:t>OU &gt; R</w:t>
    </w:r>
    <w:r>
      <w:rPr>
        <w:sz w:val="20"/>
        <w:szCs w:val="20"/>
      </w:rPr>
      <w:t>E</w:t>
    </w:r>
    <w:r w:rsidRPr="009C1DA3">
      <w:rPr>
        <w:sz w:val="20"/>
        <w:szCs w:val="20"/>
      </w:rPr>
      <w:t xml:space="preserve">S Unit &gt; </w:t>
    </w:r>
    <w:r>
      <w:rPr>
        <w:sz w:val="20"/>
        <w:szCs w:val="20"/>
      </w:rPr>
      <w:t>Graduate School</w:t>
    </w:r>
    <w:r w:rsidRPr="009C1DA3">
      <w:rPr>
        <w:sz w:val="20"/>
        <w:szCs w:val="20"/>
      </w:rPr>
      <w:t xml:space="preserve"> &gt; Santander guidance for applicants</w:t>
    </w:r>
    <w:r w:rsidRPr="009C1DA3">
      <w:rPr>
        <w:sz w:val="20"/>
        <w:szCs w:val="20"/>
      </w:rPr>
      <w:ptab w:relativeTo="margin" w:alignment="right" w:leader="none"/>
    </w:r>
    <w:r w:rsidRPr="009C1DA3">
      <w:rPr>
        <w:sz w:val="20"/>
        <w:szCs w:val="20"/>
      </w:rPr>
      <w:t xml:space="preserve">Updated </w:t>
    </w:r>
    <w:r w:rsidRPr="009C1DA3">
      <w:rPr>
        <w:sz w:val="20"/>
        <w:szCs w:val="20"/>
      </w:rPr>
      <w:fldChar w:fldCharType="begin"/>
    </w:r>
    <w:r w:rsidRPr="009C1DA3">
      <w:rPr>
        <w:sz w:val="20"/>
        <w:szCs w:val="20"/>
      </w:rPr>
      <w:instrText xml:space="preserve"> SAVEDATE  \@ "d-MMM-yy"  \* MERGEFORMAT </w:instrText>
    </w:r>
    <w:r w:rsidRPr="009C1DA3">
      <w:rPr>
        <w:sz w:val="20"/>
        <w:szCs w:val="20"/>
      </w:rPr>
      <w:fldChar w:fldCharType="separate"/>
    </w:r>
    <w:r w:rsidR="00AD070F">
      <w:rPr>
        <w:noProof/>
        <w:sz w:val="20"/>
        <w:szCs w:val="20"/>
      </w:rPr>
      <w:t>28-Aug-19</w:t>
    </w:r>
    <w:r w:rsidRPr="009C1DA3">
      <w:rPr>
        <w:sz w:val="20"/>
        <w:szCs w:val="20"/>
      </w:rPr>
      <w:fldChar w:fldCharType="end"/>
    </w:r>
  </w:p>
  <w:p w14:paraId="724990E6" w14:textId="43A63FB5" w:rsidR="00B12380" w:rsidRDefault="00B12380">
    <w:pPr>
      <w:pStyle w:val="Header"/>
      <w:rPr>
        <w:b/>
        <w:sz w:val="20"/>
        <w:szCs w:val="20"/>
      </w:rPr>
    </w:pPr>
    <w:r w:rsidRPr="009C1DA3">
      <w:rPr>
        <w:sz w:val="20"/>
        <w:szCs w:val="20"/>
      </w:rPr>
      <w:t xml:space="preserve">Information Classification: </w:t>
    </w:r>
    <w:r w:rsidRPr="009C1DA3">
      <w:rPr>
        <w:b/>
        <w:sz w:val="20"/>
        <w:szCs w:val="20"/>
      </w:rPr>
      <w:t>Internal Use Only</w:t>
    </w:r>
  </w:p>
  <w:p w14:paraId="18073247" w14:textId="77777777" w:rsidR="00B12380" w:rsidRPr="009C1DA3" w:rsidRDefault="00B1238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9F1"/>
    <w:multiLevelType w:val="multilevel"/>
    <w:tmpl w:val="3C7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51FA"/>
    <w:multiLevelType w:val="hybridMultilevel"/>
    <w:tmpl w:val="4CE20D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F5295"/>
    <w:multiLevelType w:val="hybridMultilevel"/>
    <w:tmpl w:val="BCAE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46F4E"/>
    <w:multiLevelType w:val="hybridMultilevel"/>
    <w:tmpl w:val="1B226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D3D23"/>
    <w:multiLevelType w:val="multilevel"/>
    <w:tmpl w:val="D4EE56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E2BE3"/>
    <w:multiLevelType w:val="multilevel"/>
    <w:tmpl w:val="AAFE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C432E"/>
    <w:multiLevelType w:val="hybridMultilevel"/>
    <w:tmpl w:val="1B226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D836AD"/>
    <w:multiLevelType w:val="hybridMultilevel"/>
    <w:tmpl w:val="C3B8E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B4A06"/>
    <w:multiLevelType w:val="hybridMultilevel"/>
    <w:tmpl w:val="FF84FD02"/>
    <w:lvl w:ilvl="0" w:tplc="5A12EE88">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A272E"/>
    <w:multiLevelType w:val="hybridMultilevel"/>
    <w:tmpl w:val="9C4469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B003AA"/>
    <w:multiLevelType w:val="hybridMultilevel"/>
    <w:tmpl w:val="1B226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B69CF"/>
    <w:multiLevelType w:val="hybridMultilevel"/>
    <w:tmpl w:val="92AC5D3C"/>
    <w:lvl w:ilvl="0" w:tplc="5A12EE88">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41DEF"/>
    <w:multiLevelType w:val="multilevel"/>
    <w:tmpl w:val="3C7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F2071"/>
    <w:multiLevelType w:val="hybridMultilevel"/>
    <w:tmpl w:val="B2D4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16E0D"/>
    <w:multiLevelType w:val="hybridMultilevel"/>
    <w:tmpl w:val="57D648FA"/>
    <w:lvl w:ilvl="0" w:tplc="DF925E62">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522D7"/>
    <w:multiLevelType w:val="hybridMultilevel"/>
    <w:tmpl w:val="B010C46C"/>
    <w:lvl w:ilvl="0" w:tplc="90D6CE44">
      <w:start w:val="2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E34AD9"/>
    <w:multiLevelType w:val="hybridMultilevel"/>
    <w:tmpl w:val="5622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A11F56"/>
    <w:multiLevelType w:val="hybridMultilevel"/>
    <w:tmpl w:val="C7FA4D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F243B"/>
    <w:multiLevelType w:val="hybridMultilevel"/>
    <w:tmpl w:val="44BC48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32107C"/>
    <w:multiLevelType w:val="hybridMultilevel"/>
    <w:tmpl w:val="435CB5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376306"/>
    <w:multiLevelType w:val="hybridMultilevel"/>
    <w:tmpl w:val="28909216"/>
    <w:lvl w:ilvl="0" w:tplc="FD66F72E">
      <w:start w:val="2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727E98"/>
    <w:multiLevelType w:val="hybridMultilevel"/>
    <w:tmpl w:val="00868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9"/>
  </w:num>
  <w:num w:numId="4">
    <w:abstractNumId w:val="0"/>
  </w:num>
  <w:num w:numId="5">
    <w:abstractNumId w:val="2"/>
  </w:num>
  <w:num w:numId="6">
    <w:abstractNumId w:val="13"/>
  </w:num>
  <w:num w:numId="7">
    <w:abstractNumId w:val="12"/>
  </w:num>
  <w:num w:numId="8">
    <w:abstractNumId w:val="18"/>
  </w:num>
  <w:num w:numId="9">
    <w:abstractNumId w:val="7"/>
  </w:num>
  <w:num w:numId="10">
    <w:abstractNumId w:val="16"/>
  </w:num>
  <w:num w:numId="11">
    <w:abstractNumId w:val="1"/>
  </w:num>
  <w:num w:numId="12">
    <w:abstractNumId w:val="21"/>
  </w:num>
  <w:num w:numId="13">
    <w:abstractNumId w:val="17"/>
  </w:num>
  <w:num w:numId="14">
    <w:abstractNumId w:val="6"/>
  </w:num>
  <w:num w:numId="15">
    <w:abstractNumId w:val="9"/>
  </w:num>
  <w:num w:numId="16">
    <w:abstractNumId w:val="3"/>
  </w:num>
  <w:num w:numId="17">
    <w:abstractNumId w:val="10"/>
  </w:num>
  <w:num w:numId="18">
    <w:abstractNumId w:val="20"/>
  </w:num>
  <w:num w:numId="19">
    <w:abstractNumId w:val="14"/>
  </w:num>
  <w:num w:numId="20">
    <w:abstractNumId w:val="15"/>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05"/>
    <w:rsid w:val="0002485F"/>
    <w:rsid w:val="0003289E"/>
    <w:rsid w:val="000641F4"/>
    <w:rsid w:val="000770E1"/>
    <w:rsid w:val="00106961"/>
    <w:rsid w:val="00130622"/>
    <w:rsid w:val="001D12AF"/>
    <w:rsid w:val="00210657"/>
    <w:rsid w:val="00255068"/>
    <w:rsid w:val="00322786"/>
    <w:rsid w:val="00331CA2"/>
    <w:rsid w:val="00351D7A"/>
    <w:rsid w:val="00382F1C"/>
    <w:rsid w:val="00393301"/>
    <w:rsid w:val="0039635B"/>
    <w:rsid w:val="003C6E4C"/>
    <w:rsid w:val="003C6EA1"/>
    <w:rsid w:val="003F2BAD"/>
    <w:rsid w:val="003F6F52"/>
    <w:rsid w:val="00406604"/>
    <w:rsid w:val="00406FCF"/>
    <w:rsid w:val="0041087D"/>
    <w:rsid w:val="00491FA4"/>
    <w:rsid w:val="004C690E"/>
    <w:rsid w:val="0051458F"/>
    <w:rsid w:val="005208C7"/>
    <w:rsid w:val="00603A04"/>
    <w:rsid w:val="00616809"/>
    <w:rsid w:val="006515BC"/>
    <w:rsid w:val="00682BD6"/>
    <w:rsid w:val="00714F24"/>
    <w:rsid w:val="007768CD"/>
    <w:rsid w:val="00783EF6"/>
    <w:rsid w:val="007B39B5"/>
    <w:rsid w:val="007E6CF8"/>
    <w:rsid w:val="00800628"/>
    <w:rsid w:val="00866064"/>
    <w:rsid w:val="00884838"/>
    <w:rsid w:val="00895705"/>
    <w:rsid w:val="008D2B9B"/>
    <w:rsid w:val="009511FA"/>
    <w:rsid w:val="009A6047"/>
    <w:rsid w:val="009C1DA3"/>
    <w:rsid w:val="00A11215"/>
    <w:rsid w:val="00A2135B"/>
    <w:rsid w:val="00A4735E"/>
    <w:rsid w:val="00A73B92"/>
    <w:rsid w:val="00A80C4B"/>
    <w:rsid w:val="00A91EAA"/>
    <w:rsid w:val="00AC34A7"/>
    <w:rsid w:val="00AD04EA"/>
    <w:rsid w:val="00AD070F"/>
    <w:rsid w:val="00B12380"/>
    <w:rsid w:val="00BC5D3D"/>
    <w:rsid w:val="00BF3102"/>
    <w:rsid w:val="00C06274"/>
    <w:rsid w:val="00C537CF"/>
    <w:rsid w:val="00CD334E"/>
    <w:rsid w:val="00D14D3C"/>
    <w:rsid w:val="00D2363C"/>
    <w:rsid w:val="00D31E31"/>
    <w:rsid w:val="00D533FF"/>
    <w:rsid w:val="00D56C1A"/>
    <w:rsid w:val="00D6372C"/>
    <w:rsid w:val="00D95BF8"/>
    <w:rsid w:val="00DB673D"/>
    <w:rsid w:val="00DB7921"/>
    <w:rsid w:val="00DC0989"/>
    <w:rsid w:val="00DC2366"/>
    <w:rsid w:val="00E402C6"/>
    <w:rsid w:val="00E44961"/>
    <w:rsid w:val="00E50C7B"/>
    <w:rsid w:val="00F60311"/>
    <w:rsid w:val="00FB0FC8"/>
    <w:rsid w:val="00FE0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34AEBC"/>
  <w15:chartTrackingRefBased/>
  <w15:docId w15:val="{9B70B41B-CF3F-4362-92CF-C7AAA384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70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705"/>
    <w:rPr>
      <w:color w:val="0563C1" w:themeColor="hyperlink"/>
      <w:u w:val="single"/>
    </w:rPr>
  </w:style>
  <w:style w:type="paragraph" w:styleId="ListParagraph">
    <w:name w:val="List Paragraph"/>
    <w:basedOn w:val="Normal"/>
    <w:uiPriority w:val="34"/>
    <w:qFormat/>
    <w:rsid w:val="00895705"/>
    <w:pPr>
      <w:ind w:left="720"/>
      <w:contextualSpacing/>
    </w:pPr>
  </w:style>
  <w:style w:type="paragraph" w:styleId="BalloonText">
    <w:name w:val="Balloon Text"/>
    <w:basedOn w:val="Normal"/>
    <w:link w:val="BalloonTextChar"/>
    <w:uiPriority w:val="99"/>
    <w:semiHidden/>
    <w:unhideWhenUsed/>
    <w:rsid w:val="00A73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B92"/>
    <w:rPr>
      <w:rFonts w:ascii="Segoe UI" w:hAnsi="Segoe UI" w:cs="Segoe UI"/>
      <w:sz w:val="18"/>
      <w:szCs w:val="18"/>
      <w:lang w:val="en-US"/>
    </w:rPr>
  </w:style>
  <w:style w:type="character" w:styleId="CommentReference">
    <w:name w:val="annotation reference"/>
    <w:basedOn w:val="DefaultParagraphFont"/>
    <w:uiPriority w:val="99"/>
    <w:semiHidden/>
    <w:unhideWhenUsed/>
    <w:rsid w:val="00AC34A7"/>
    <w:rPr>
      <w:sz w:val="16"/>
      <w:szCs w:val="16"/>
    </w:rPr>
  </w:style>
  <w:style w:type="paragraph" w:styleId="CommentText">
    <w:name w:val="annotation text"/>
    <w:basedOn w:val="Normal"/>
    <w:link w:val="CommentTextChar"/>
    <w:uiPriority w:val="99"/>
    <w:semiHidden/>
    <w:unhideWhenUsed/>
    <w:rsid w:val="00AC34A7"/>
    <w:pPr>
      <w:spacing w:line="240" w:lineRule="auto"/>
    </w:pPr>
    <w:rPr>
      <w:sz w:val="20"/>
      <w:szCs w:val="20"/>
    </w:rPr>
  </w:style>
  <w:style w:type="character" w:customStyle="1" w:styleId="CommentTextChar">
    <w:name w:val="Comment Text Char"/>
    <w:basedOn w:val="DefaultParagraphFont"/>
    <w:link w:val="CommentText"/>
    <w:uiPriority w:val="99"/>
    <w:semiHidden/>
    <w:rsid w:val="00AC34A7"/>
    <w:rPr>
      <w:sz w:val="20"/>
      <w:szCs w:val="20"/>
      <w:lang w:val="en-US"/>
    </w:rPr>
  </w:style>
  <w:style w:type="paragraph" w:styleId="CommentSubject">
    <w:name w:val="annotation subject"/>
    <w:basedOn w:val="CommentText"/>
    <w:next w:val="CommentText"/>
    <w:link w:val="CommentSubjectChar"/>
    <w:uiPriority w:val="99"/>
    <w:semiHidden/>
    <w:unhideWhenUsed/>
    <w:rsid w:val="00AC34A7"/>
    <w:rPr>
      <w:b/>
      <w:bCs/>
    </w:rPr>
  </w:style>
  <w:style w:type="character" w:customStyle="1" w:styleId="CommentSubjectChar">
    <w:name w:val="Comment Subject Char"/>
    <w:basedOn w:val="CommentTextChar"/>
    <w:link w:val="CommentSubject"/>
    <w:uiPriority w:val="99"/>
    <w:semiHidden/>
    <w:rsid w:val="00AC34A7"/>
    <w:rPr>
      <w:b/>
      <w:bCs/>
      <w:sz w:val="20"/>
      <w:szCs w:val="20"/>
      <w:lang w:val="en-US"/>
    </w:rPr>
  </w:style>
  <w:style w:type="paragraph" w:styleId="Header">
    <w:name w:val="header"/>
    <w:basedOn w:val="Normal"/>
    <w:link w:val="HeaderChar"/>
    <w:uiPriority w:val="99"/>
    <w:unhideWhenUsed/>
    <w:rsid w:val="00064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F4"/>
    <w:rPr>
      <w:lang w:val="en-US"/>
    </w:rPr>
  </w:style>
  <w:style w:type="paragraph" w:styleId="Footer">
    <w:name w:val="footer"/>
    <w:basedOn w:val="Normal"/>
    <w:link w:val="FooterChar"/>
    <w:uiPriority w:val="99"/>
    <w:unhideWhenUsed/>
    <w:rsid w:val="00064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F4"/>
    <w:rPr>
      <w:lang w:val="en-US"/>
    </w:rPr>
  </w:style>
  <w:style w:type="character" w:styleId="FollowedHyperlink">
    <w:name w:val="FollowedHyperlink"/>
    <w:basedOn w:val="DefaultParagraphFont"/>
    <w:uiPriority w:val="99"/>
    <w:semiHidden/>
    <w:unhideWhenUsed/>
    <w:rsid w:val="00351D7A"/>
    <w:rPr>
      <w:color w:val="954F72" w:themeColor="followedHyperlink"/>
      <w:u w:val="single"/>
    </w:rPr>
  </w:style>
  <w:style w:type="table" w:styleId="TableGrid">
    <w:name w:val="Table Grid"/>
    <w:basedOn w:val="TableNormal"/>
    <w:uiPriority w:val="39"/>
    <w:rsid w:val="00D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antander.com/csgs/Satellite?appID=santander.wc.CFWCSancomQP01&amp;c=GSInformacion&amp;canal=CSCORP&amp;cid=1278679137354&amp;empr=CFWCSancomQP01&amp;leng=en_GB&amp;pagename=CFWCSancomQP01%2FGSInformacion%2FCFQP01_GSInformacionDetalleSimple_PT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ailed_x0020_Date xmlns="66d5b531-2c56-4727-bb25-ca563dcb28f9" xsi:nil="true"/>
    <Committee xmlns="66d5b531-2c56-4727-bb25-ca563dcb28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825647887084AB06C1B43982F5FE5" ma:contentTypeVersion="10" ma:contentTypeDescription="Create a new document." ma:contentTypeScope="" ma:versionID="5a1df727eb42f32bdf0b6ab7468aa6ab">
  <xsd:schema xmlns:xsd="http://www.w3.org/2001/XMLSchema" xmlns:xs="http://www.w3.org/2001/XMLSchema" xmlns:p="http://schemas.microsoft.com/office/2006/metadata/properties" xmlns:ns2="bbf0a5d8-1a08-46f8-9ca8-49a16ecd0b73" xmlns:ns3="66d5b531-2c56-4727-bb25-ca563dcb28f9" targetNamespace="http://schemas.microsoft.com/office/2006/metadata/properties" ma:root="true" ma:fieldsID="fc92d9256a666f6c89540abba3a6f5b4" ns2:_="" ns3:_="">
    <xsd:import namespace="bbf0a5d8-1a08-46f8-9ca8-49a16ecd0b73"/>
    <xsd:import namespace="66d5b531-2c56-4727-bb25-ca563dcb28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Emailed_x0020_Date" minOccurs="0"/>
                <xsd:element ref="ns3: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0a5d8-1a08-46f8-9ca8-49a16ecd0b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5b531-2c56-4727-bb25-ca563dcb28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Emailed_x0020_Date" ma:index="16" nillable="true" ma:displayName="Emailed Date" ma:internalName="Emailed_x0020_Date">
      <xsd:simpleType>
        <xsd:restriction base="dms:Text">
          <xsd:maxLength value="255"/>
        </xsd:restriction>
      </xsd:simpleType>
    </xsd:element>
    <xsd:element name="Committee" ma:index="17" nillable="true" ma:displayName="Committee"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2E91E-278D-4673-A4F7-0BC04523E890}">
  <ds:schemaRefs>
    <ds:schemaRef ds:uri="66d5b531-2c56-4727-bb25-ca563dcb28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f0a5d8-1a08-46f8-9ca8-49a16ecd0b7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D19C740-7A5F-407A-AE08-539E8F4A44E1}">
  <ds:schemaRefs>
    <ds:schemaRef ds:uri="http://schemas.microsoft.com/sharepoint/v3/contenttype/forms"/>
  </ds:schemaRefs>
</ds:datastoreItem>
</file>

<file path=customXml/itemProps3.xml><?xml version="1.0" encoding="utf-8"?>
<ds:datastoreItem xmlns:ds="http://schemas.openxmlformats.org/officeDocument/2006/customXml" ds:itemID="{D9E0A37A-7028-4541-AB96-24425204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0a5d8-1a08-46f8-9ca8-49a16ecd0b73"/>
    <ds:schemaRef ds:uri="66d5b531-2c56-4727-bb25-ca563dcb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Helen.Wetherill</dc:creator>
  <cp:keywords/>
  <dc:description/>
  <cp:lastModifiedBy>Robert.Wilson</cp:lastModifiedBy>
  <cp:revision>2</cp:revision>
  <cp:lastPrinted>2019-08-28T08:04:00Z</cp:lastPrinted>
  <dcterms:created xsi:type="dcterms:W3CDTF">2019-09-10T10:51:00Z</dcterms:created>
  <dcterms:modified xsi:type="dcterms:W3CDTF">2019-09-10T10:51:00Z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0x0101003CA825647887084AB06C1B43982F5FE5</vt:lpwstr>
  </property>
  <property fmtid="{D5CDD505-2E9C-101B-9397-08002B2CF9AE}" pid="3" name="Order">
    <vt:r8>100</vt:r8>
  </property>
</Properties>
</file>